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11-registro-de-envío-y-recepción"/>
    <w:p>
      <w:pPr>
        <w:pStyle w:val="Heading1"/>
      </w:pPr>
      <w:r>
        <w:t xml:space="preserve">F-PSEA-11 — Registro de Envío y Recepción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F-PSEA-11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para documentar el envío y recepción de ítems PT (si aplica envío físico) o la llegada/registro del participante al sitio (para esquema in situ). Incluye: identificación del ítem/participante, fecha y hora de despacho/llegada, verificación de integridad, acuse de recibo, condiciones de transporte/almacenamiento, y observaciones. Soporte documental de P-PSEA-10.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7.3.3, 7.3.4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Trazabilidad del despacho y recepción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aba603c1cc8581988717ab5d89e5dd472e65ea5"/>
    <w:p>
      <w:pPr>
        <w:pStyle w:val="Heading2"/>
      </w:pPr>
      <w:r>
        <w:t xml:space="preserve">Registro de Recepción — EA-PP2026-R2 (Fase 1)</w:t>
      </w:r>
    </w:p>
    <w:p>
      <w:pPr>
        <w:pStyle w:val="BlockText"/>
      </w:pPr>
      <w:r>
        <w:rPr>
          <w:b/>
          <w:bCs/>
        </w:rPr>
        <w:t xml:space="preserve">Nota de ejecución (2026-04-30):</w:t>
      </w:r>
      <w:r>
        <w:t xml:space="preserve"> </w:t>
      </w:r>
      <w:r>
        <w:t xml:space="preserve">Solo participó P1 (SIATA). P2 (UPB) no asistió. Ver F-PSEA-07 para detalle.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 registrado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In situ — instalación de equipos de 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 efectivos</w:t>
            </w:r>
          </w:p>
        </w:tc>
        <w:tc>
          <w:tcPr/>
          <w:p>
            <w:pPr>
              <w:pStyle w:val="Compact"/>
            </w:pPr>
            <w:r>
              <w:t xml:space="preserve">P1 = SIATA (3 equipos: O₃, NO, NO₂)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(UPB)</w:t>
            </w:r>
          </w:p>
        </w:tc>
        <w:tc>
          <w:tcPr/>
          <w:p>
            <w:pPr>
              <w:pStyle w:val="Compact"/>
            </w:pPr>
            <w:r>
              <w:t xml:space="preserve">No asistió — diferido a siguiente ronda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 de llegada P1</w:t>
            </w:r>
          </w:p>
        </w:tc>
        <w:tc>
          <w:tcPr/>
          <w:p>
            <w:pPr>
              <w:pStyle w:val="Compact"/>
            </w:pPr>
            <w:r>
              <w:t xml:space="preserve">Tarde (ronda inició ~9:00 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 en cronograma</w:t>
            </w:r>
          </w:p>
        </w:tc>
        <w:tc>
          <w:tcPr/>
          <w:p>
            <w:pPr>
              <w:pStyle w:val="Compact"/>
            </w:pPr>
            <w:r>
              <w:t xml:space="preserve">Tiempo de calibración reducido; inicio de medición desplazado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Lección para rondas siguientes:</w:t>
      </w:r>
      <w:r>
        <w:t xml:space="preserve"> </w:t>
      </w:r>
      <w:r>
        <w:t xml:space="preserve">Definir hora de llegada obligatoria no más tarde de las 8:00 am para garantizar tiempo de calibración previo al inicio de mediciones. Comunicar como condición en el paquete pre-ronda.</w:t>
      </w:r>
    </w:p>
    <w:bookmarkStart w:id="11" w:name="campos-pendientes"/>
    <w:p>
      <w:pPr>
        <w:pStyle w:val="Heading3"/>
      </w:pPr>
      <w:r>
        <w:t xml:space="preserve">Campos pendientes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 (SIATA):</w:t>
      </w:r>
      <w:r>
        <w:t xml:space="preserve"> </w:t>
      </w:r>
      <w:r>
        <w:t xml:space="preserve">hora exacta de llegada, identificación de 3 equipos</w:t>
      </w:r>
    </w:p>
    <w:p>
      <w:pPr>
        <w:pStyle w:val="Compact"/>
        <w:numPr>
          <w:ilvl w:val="1"/>
          <w:numId w:val="1002"/>
        </w:numPr>
      </w:pPr>
      <w:r>
        <w:t xml:space="preserve">Equipo 1: analizador O₃ (marca, modelo, serie)</w:t>
      </w:r>
    </w:p>
    <w:p>
      <w:pPr>
        <w:pStyle w:val="Compact"/>
        <w:numPr>
          <w:ilvl w:val="1"/>
          <w:numId w:val="1003"/>
        </w:numPr>
      </w:pPr>
      <w:r>
        <w:t xml:space="preserve">Equipo 2: analizador NOx (marca, modelo, serie)</w:t>
      </w:r>
    </w:p>
    <w:p>
      <w:pPr>
        <w:pStyle w:val="Compact"/>
        <w:numPr>
          <w:ilvl w:val="1"/>
          <w:numId w:val="1004"/>
        </w:numPr>
      </w:pPr>
      <w:r>
        <w:t xml:space="preserve">Equipo 3: analizador NO₂/NO (marca, modelo, serie)</w:t>
      </w:r>
    </w:p>
    <w:p>
      <w:pPr>
        <w:pStyle w:val="Compact"/>
        <w:numPr>
          <w:ilvl w:val="0"/>
          <w:numId w:val="1005"/>
        </w:numPr>
      </w:pPr>
      <w:r>
        <w:t xml:space="preserve">Verificación de estado de equipos al ingreso</w:t>
      </w:r>
    </w:p>
    <w:p>
      <w:pPr>
        <w:pStyle w:val="Compact"/>
        <w:numPr>
          <w:ilvl w:val="0"/>
          <w:numId w:val="1006"/>
        </w:numPr>
      </w:pPr>
      <w:r>
        <w:t xml:space="preserve">Registro de instalación y conexión al manifold</w:t>
      </w:r>
    </w:p>
    <w:p>
      <w:pPr>
        <w:pStyle w:val="Compact"/>
        <w:numPr>
          <w:ilvl w:val="0"/>
          <w:numId w:val="1007"/>
        </w:numPr>
      </w:pPr>
      <w:r>
        <w:t xml:space="preserve">Acuse de recibo firmado P1</w:t>
      </w:r>
    </w:p>
    <w:p>
      <w:pPr>
        <w:pStyle w:val="Compact"/>
        <w:numPr>
          <w:ilvl w:val="0"/>
          <w:numId w:val="1008"/>
        </w:numPr>
      </w:pPr>
      <w:r>
        <w:t xml:space="preserve">Firmas de responsables del PEA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