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33a89e6825b7c73246676267aa84ecc7dd7ca2"/>
    <w:p>
      <w:pPr>
        <w:pStyle w:val="Heading1"/>
      </w:pPr>
      <w:r>
        <w:t xml:space="preserve">F-PSEA-12 — Formato de Reporte del Participante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F-PSEA-12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estandarizado que cada participante debe utilizar para reportar sus resultados de medición al PEA. Incluye: datos de identificación del participante (código anónimo), ronda, analito, nivel, resultado de medición, incertidumbre expandida (si aplica), método de medición utilizado, equipo/modelo del analizador, condiciones de medición, y observaciones. Diseñado para minimizar errores de transcripción y facilitar la carga al aplicativo R/Shiny.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7.3.5, 7.4.1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Formato para que el participante reporte sus resultados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4" w:name="Xf329d4410adbc0d0e4385522e2b109410e10d5c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P1 (SIATA) + P2 (UPB) — doble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 a reportar</w:t>
            </w:r>
          </w:p>
        </w:tc>
        <w:tc>
          <w:tcPr/>
          <w:p>
            <w:pPr>
              <w:pStyle w:val="Compact"/>
            </w:pPr>
            <w:r>
              <w:t xml:space="preserve">O₃, NO, NO₂ (cada participante reporta 3 resultados)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resultados</w:t>
            </w:r>
          </w:p>
        </w:tc>
        <w:tc>
          <w:tcPr/>
          <w:p>
            <w:pPr>
              <w:pStyle w:val="Compact"/>
            </w:pPr>
            <w:r>
              <w:t xml:space="preserve">6 resultados (3 analitos × 2 participantes)</w:t>
            </w:r>
          </w:p>
        </w:tc>
      </w:tr>
    </w:tbl>
    <w:bookmarkStart w:id="11" w:name="campos-a-completar-p1-siata"/>
    <w:p>
      <w:pPr>
        <w:pStyle w:val="Heading3"/>
      </w:pPr>
      <w:r>
        <w:t xml:space="preserve">Campos a completar — P1 (SIATA)</w:t>
      </w:r>
    </w:p>
    <w:p>
      <w:pPr>
        <w:pStyle w:val="Compact"/>
        <w:numPr>
          <w:ilvl w:val="0"/>
          <w:numId w:val="1001"/>
        </w:numPr>
      </w:pPr>
      <w:r>
        <w:t xml:space="preserve">Código anónimo P1</w:t>
      </w:r>
    </w:p>
    <w:p>
      <w:pPr>
        <w:pStyle w:val="Compact"/>
        <w:numPr>
          <w:ilvl w:val="0"/>
          <w:numId w:val="1002"/>
        </w:numPr>
      </w:pPr>
      <w:r>
        <w:t xml:space="preserve">Resultado O₃: concentración, incertidumbre, cifras significativas, método, equipo</w:t>
      </w:r>
    </w:p>
    <w:p>
      <w:pPr>
        <w:pStyle w:val="Compact"/>
        <w:numPr>
          <w:ilvl w:val="0"/>
          <w:numId w:val="1003"/>
        </w:numPr>
      </w:pPr>
      <w:r>
        <w:t xml:space="preserve">Resultado NO: concentración, incertidumbre, cifras significativas, método, equipo</w:t>
      </w:r>
    </w:p>
    <w:p>
      <w:pPr>
        <w:pStyle w:val="Compact"/>
        <w:numPr>
          <w:ilvl w:val="0"/>
          <w:numId w:val="1004"/>
        </w:numPr>
      </w:pPr>
      <w:r>
        <w:t xml:space="preserve">Resultado NO₂: concentración, incertidumbre, cifras significativas, método, equipo</w:t>
      </w:r>
    </w:p>
    <w:bookmarkEnd w:id="11"/>
    <w:bookmarkStart w:id="12" w:name="campos-a-completar-p2-upb"/>
    <w:p>
      <w:pPr>
        <w:pStyle w:val="Heading3"/>
      </w:pPr>
      <w:r>
        <w:t xml:space="preserve">Campos a completar — P2 (UPB)</w:t>
      </w:r>
    </w:p>
    <w:p>
      <w:pPr>
        <w:pStyle w:val="Compact"/>
        <w:numPr>
          <w:ilvl w:val="0"/>
          <w:numId w:val="1005"/>
        </w:numPr>
      </w:pPr>
      <w:r>
        <w:t xml:space="preserve">Código anónimo P2</w:t>
      </w:r>
    </w:p>
    <w:p>
      <w:pPr>
        <w:pStyle w:val="Compact"/>
        <w:numPr>
          <w:ilvl w:val="0"/>
          <w:numId w:val="1006"/>
        </w:numPr>
      </w:pPr>
      <w:r>
        <w:t xml:space="preserve">Resultado O₃: concentración, incertidumbre, cifras significativas, método, equipo</w:t>
      </w:r>
    </w:p>
    <w:p>
      <w:pPr>
        <w:pStyle w:val="Compact"/>
        <w:numPr>
          <w:ilvl w:val="0"/>
          <w:numId w:val="1007"/>
        </w:numPr>
      </w:pPr>
      <w:r>
        <w:t xml:space="preserve">Resultado NO: concentración, incertidumbre, cifras significativas, método, equipo</w:t>
      </w:r>
    </w:p>
    <w:p>
      <w:pPr>
        <w:pStyle w:val="Compact"/>
        <w:numPr>
          <w:ilvl w:val="0"/>
          <w:numId w:val="1008"/>
        </w:numPr>
      </w:pPr>
      <w:r>
        <w:t xml:space="preserve">Resultado NO₂: concentración, incertidumbre, cifras significativas, método, equipo</w:t>
      </w:r>
    </w:p>
    <w:bookmarkEnd w:id="12"/>
    <w:bookmarkStart w:id="13" w:name="campos-comunes"/>
    <w:p>
      <w:pPr>
        <w:pStyle w:val="Heading3"/>
      </w:pPr>
      <w:r>
        <w:t xml:space="preserve">Campos comunes</w:t>
      </w:r>
    </w:p>
    <w:p>
      <w:pPr>
        <w:pStyle w:val="Compact"/>
        <w:numPr>
          <w:ilvl w:val="0"/>
          <w:numId w:val="1009"/>
        </w:numPr>
      </w:pPr>
      <w:r>
        <w:t xml:space="preserve">Condiciones de medición (T, P, HR) por participante</w:t>
      </w:r>
    </w:p>
    <w:p>
      <w:pPr>
        <w:pStyle w:val="Compact"/>
        <w:numPr>
          <w:ilvl w:val="0"/>
          <w:numId w:val="1010"/>
        </w:numPr>
      </w:pPr>
      <w:r>
        <w:t xml:space="preserve">Fechas y horas de las mediciones por jornada</w:t>
      </w:r>
    </w:p>
    <w:p>
      <w:pPr>
        <w:pStyle w:val="Compact"/>
        <w:numPr>
          <w:ilvl w:val="0"/>
          <w:numId w:val="1011"/>
        </w:numPr>
      </w:pPr>
      <w:r>
        <w:t xml:space="preserve">Observaciones de cada participante</w:t>
      </w:r>
    </w:p>
    <w:p>
      <w:pPr>
        <w:pStyle w:val="Compact"/>
        <w:numPr>
          <w:ilvl w:val="0"/>
          <w:numId w:val="1012"/>
        </w:numPr>
      </w:pPr>
      <w:r>
        <w:t xml:space="preserve">Firmas de ambos participantes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