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-psea-13-hoja-de-revisión-de-datos"/>
    <w:p>
      <w:pPr>
        <w:pStyle w:val="Heading1"/>
      </w:pPr>
      <w:r>
        <w:t xml:space="preserve">F-PSEA-13 — Hoja de Revisión de Datos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F-PSEA-13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(EA-PP2026-R2 — Fase 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la revisión sistemática de los datos reportados por los participantes antes del análisis estadístico. Incluye checklist de: verificación de unidades, formato numérico, cifras significativas, consistencia interna, identificación de posibles errores de transcripción, datos faltantes, y decisiones sobre datos sospechosos (con justificación documentada). Soporte de I-PSEA-06.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Evidencia de la revisión pre-análisis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4" w:name="Xf329d4410adbc0d0e4385522e2b109410e10d5c"/>
    <w:p>
      <w:pPr>
        <w:pStyle w:val="Heading2"/>
      </w:pPr>
      <w:r>
        <w:t xml:space="preserve">Planificación de Contenido — Ronda Compleja Fase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P1 (SIATA) + P2 (UPB)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O₃, NO, NO₂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Revisión esperada</w:t>
            </w:r>
          </w:p>
        </w:tc>
        <w:tc>
          <w:tcPr/>
          <w:p>
            <w:pPr>
              <w:pStyle w:val="Compact"/>
            </w:pPr>
            <w:r>
              <w:t xml:space="preserve">Mayor volumen de datos, mayor complejidad</w:t>
            </w:r>
          </w:p>
        </w:tc>
      </w:tr>
    </w:tbl>
    <w:bookmarkStart w:id="11" w:name="checklist-de-revisión-p1-siata"/>
    <w:p>
      <w:pPr>
        <w:pStyle w:val="Heading3"/>
      </w:pPr>
      <w:r>
        <w:t xml:space="preserve">Checklist de revisión — P1 (SIATA)</w:t>
      </w:r>
    </w:p>
    <w:p>
      <w:pPr>
        <w:pStyle w:val="Compact"/>
        <w:numPr>
          <w:ilvl w:val="0"/>
          <w:numId w:val="1001"/>
        </w:numPr>
      </w:pPr>
      <w:r>
        <w:t xml:space="preserve">Unidades correctas: O₃, NO, NO₂ (¿nmol/mol consistente?)</w:t>
      </w:r>
    </w:p>
    <w:p>
      <w:pPr>
        <w:pStyle w:val="Compact"/>
        <w:numPr>
          <w:ilvl w:val="0"/>
          <w:numId w:val="1002"/>
        </w:numPr>
      </w:pPr>
      <w:r>
        <w:t xml:space="preserve">Formato numérico: separador decimal, notación científica si aplica</w:t>
      </w:r>
    </w:p>
    <w:p>
      <w:pPr>
        <w:pStyle w:val="Compact"/>
        <w:numPr>
          <w:ilvl w:val="0"/>
          <w:numId w:val="1003"/>
        </w:numPr>
      </w:pPr>
      <w:r>
        <w:t xml:space="preserve">Cifras significativas coherentes con incertidumbre</w:t>
      </w:r>
    </w:p>
    <w:p>
      <w:pPr>
        <w:pStyle w:val="Compact"/>
        <w:numPr>
          <w:ilvl w:val="0"/>
          <w:numId w:val="1004"/>
        </w:numPr>
      </w:pPr>
      <w:r>
        <w:t xml:space="preserve">Plausibilidad: O₃, NO, NO₂ dentro de rango esperable</w:t>
      </w:r>
    </w:p>
    <w:p>
      <w:pPr>
        <w:pStyle w:val="Compact"/>
        <w:numPr>
          <w:ilvl w:val="0"/>
          <w:numId w:val="1005"/>
        </w:numPr>
      </w:pPr>
      <w:r>
        <w:t xml:space="preserve">Consistencia interna de incertidumbres</w:t>
      </w:r>
    </w:p>
    <w:p>
      <w:pPr>
        <w:pStyle w:val="Compact"/>
        <w:numPr>
          <w:ilvl w:val="0"/>
          <w:numId w:val="1006"/>
        </w:numPr>
      </w:pPr>
      <w:r>
        <w:t xml:space="preserve">Datos faltantes: ninguno</w:t>
      </w:r>
    </w:p>
    <w:bookmarkEnd w:id="11"/>
    <w:bookmarkStart w:id="12" w:name="checklist-de-revisión-p2-upb"/>
    <w:p>
      <w:pPr>
        <w:pStyle w:val="Heading3"/>
      </w:pPr>
      <w:r>
        <w:t xml:space="preserve">Checklist de revisión — P2 (UPB)</w:t>
      </w:r>
    </w:p>
    <w:p>
      <w:pPr>
        <w:pStyle w:val="Compact"/>
        <w:numPr>
          <w:ilvl w:val="0"/>
          <w:numId w:val="1007"/>
        </w:numPr>
      </w:pPr>
      <w:r>
        <w:t xml:space="preserve">Unidades correctas: O₃, NO, NO₂</w:t>
      </w:r>
    </w:p>
    <w:p>
      <w:pPr>
        <w:pStyle w:val="Compact"/>
        <w:numPr>
          <w:ilvl w:val="0"/>
          <w:numId w:val="1008"/>
        </w:numPr>
      </w:pPr>
      <w:r>
        <w:t xml:space="preserve">Formato numérico consistente con P1</w:t>
      </w:r>
    </w:p>
    <w:p>
      <w:pPr>
        <w:pStyle w:val="Compact"/>
        <w:numPr>
          <w:ilvl w:val="0"/>
          <w:numId w:val="1009"/>
        </w:numPr>
      </w:pPr>
      <w:r>
        <w:t xml:space="preserve">Cifras significativas coherentes con incertidumbre</w:t>
      </w:r>
    </w:p>
    <w:p>
      <w:pPr>
        <w:pStyle w:val="Compact"/>
        <w:numPr>
          <w:ilvl w:val="0"/>
          <w:numId w:val="1010"/>
        </w:numPr>
      </w:pPr>
      <w:r>
        <w:t xml:space="preserve">Plausibilidad: O₃, NO, NO₂ dentro de rango esperable</w:t>
      </w:r>
    </w:p>
    <w:p>
      <w:pPr>
        <w:pStyle w:val="Compact"/>
        <w:numPr>
          <w:ilvl w:val="0"/>
          <w:numId w:val="1011"/>
        </w:numPr>
      </w:pPr>
      <w:r>
        <w:t xml:space="preserve">Consistencia interna de incertidumbres</w:t>
      </w:r>
    </w:p>
    <w:p>
      <w:pPr>
        <w:pStyle w:val="Compact"/>
        <w:numPr>
          <w:ilvl w:val="0"/>
          <w:numId w:val="1012"/>
        </w:numPr>
      </w:pPr>
      <w:r>
        <w:t xml:space="preserve">Datos faltantes: ninguno</w:t>
      </w:r>
    </w:p>
    <w:bookmarkEnd w:id="12"/>
    <w:bookmarkStart w:id="13" w:name="revisión-cruzada"/>
    <w:p>
      <w:pPr>
        <w:pStyle w:val="Heading3"/>
      </w:pPr>
      <w:r>
        <w:t xml:space="preserve">Revisión cruzada</w:t>
      </w:r>
    </w:p>
    <w:p>
      <w:pPr>
        <w:pStyle w:val="Compact"/>
        <w:numPr>
          <w:ilvl w:val="0"/>
          <w:numId w:val="1013"/>
        </w:numPr>
      </w:pPr>
      <w:r>
        <w:t xml:space="preserve">Comparabilidad de formatos P1 vs P2</w:t>
      </w:r>
    </w:p>
    <w:p>
      <w:pPr>
        <w:pStyle w:val="Compact"/>
        <w:numPr>
          <w:ilvl w:val="0"/>
          <w:numId w:val="1014"/>
        </w:numPr>
      </w:pPr>
      <w:r>
        <w:t xml:space="preserve">Errores de transcripción (ninguno / corregidos)</w:t>
      </w:r>
    </w:p>
    <w:p>
      <w:pPr>
        <w:pStyle w:val="Compact"/>
        <w:numPr>
          <w:ilvl w:val="0"/>
          <w:numId w:val="1015"/>
        </w:numPr>
      </w:pPr>
      <w:r>
        <w:t xml:space="preserve">Datos sospechosos identificados (ninguno / justificar decisión)</w:t>
      </w:r>
    </w:p>
    <w:p>
      <w:pPr>
        <w:pStyle w:val="Compact"/>
        <w:numPr>
          <w:ilvl w:val="0"/>
          <w:numId w:val="1016"/>
        </w:numPr>
      </w:pPr>
      <w:r>
        <w:t xml:space="preserve">Completitud de ambos formatos</w:t>
      </w:r>
    </w:p>
    <w:p>
      <w:pPr>
        <w:pStyle w:val="Compact"/>
        <w:numPr>
          <w:ilvl w:val="0"/>
          <w:numId w:val="1017"/>
        </w:numPr>
      </w:pPr>
      <w:r>
        <w:t xml:space="preserve">Firma del revisor y fecha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2026-06-19T12:35:46Z</dcterms:created>
  <dcterms:modified xsi:type="dcterms:W3CDTF">2026-06-19T12:35:46Z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