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06-plan-de-ronda-ea"/>
    <w:p>
      <w:pPr>
        <w:pStyle w:val="Heading1"/>
      </w:pPr>
      <w:r>
        <w:t xml:space="preserve">F-PSEA-06 — Plan de Ronda 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F-PSEA-06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NO EJECUTADA en EA-PP2026-R2 — P2 (UPB) diferido a siguiente ronda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documentar el plan específico de cada ronda de EA. Incluye: identificación de la ronda, analito(s) y niveles de concentración, número y codificación de participantes, método del valor asignado, σ_pt aplicable, algoritmo estadístico seleccionado, cronograma de la ronda, personal asignado, equipos y CRM a utilizar, y criterios de aceptación. Es el documento operativo clave que se genera a partir de P-PSEA-09.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7.2.1.3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del plan aprobado de cada ronda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55195defea784b7856a10cb42f186a5b1093db8"/>
    <w:p>
      <w:pPr>
        <w:pStyle w:val="Heading2"/>
      </w:pPr>
      <w:r>
        <w:t xml:space="preserve">Planificación de Contenido — EA-PP2026-R2 (Fase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Identificación de ronda</w:t>
            </w:r>
          </w:p>
        </w:tc>
        <w:tc>
          <w:tcPr/>
          <w:p>
            <w:pPr>
              <w:pStyle w:val="Compact"/>
            </w:pPr>
            <w:r>
              <w:t xml:space="preserve">EA-PP2026-R2 — Ronda Compleja Fase 2 — CALAIRE-EA Piloto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Niveles de concentración</w:t>
            </w:r>
          </w:p>
        </w:tc>
        <w:tc>
          <w:tcPr/>
          <w:p>
            <w:pPr>
              <w:pStyle w:val="Compact"/>
            </w:pPr>
            <w:r>
              <w:t xml:space="preserve">Reutilización de CRM/niveles de Ronda Simple (permite comparación P1 vs 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1 (P2 = UPB)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valor asignado</w:t>
            </w:r>
          </w:p>
        </w:tc>
        <w:tc>
          <w:tcPr/>
          <w:p>
            <w:pPr>
              <w:pStyle w:val="Compact"/>
            </w:pPr>
            <w:r>
              <w:t xml:space="preserve">CRM + dilución (x_pt = C_CRM × f_dilución) — mismos CRM que Ronda 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σ_pt</w:t>
            </w:r>
          </w:p>
        </w:tc>
        <w:tc>
          <w:tcPr/>
          <w:p>
            <w:pPr>
              <w:pStyle w:val="Compact"/>
            </w:pPr>
            <w:r>
              <w:t xml:space="preserve">σ_pt = δ_E / 3 (mismo criterio que Ronda Simple)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Algoritmo estadístico</w:t>
            </w:r>
          </w:p>
        </w:tc>
        <w:tc>
          <w:tcPr/>
          <w:p>
            <w:pPr>
              <w:pStyle w:val="Compact"/>
            </w:pPr>
            <w:r>
              <w:t xml:space="preserve">z-score directo contra valor de referencia (CRM)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Semana 2: cierre (post-Fase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1 jornada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 requeridos</w:t>
            </w:r>
          </w:p>
        </w:tc>
        <w:tc>
          <w:tcPr/>
          <w:p>
            <w:pPr>
              <w:pStyle w:val="Compact"/>
            </w:pPr>
            <w:r>
              <w:t xml:space="preserve">Reutilizar cilindros de CO y SO₂ de la Ronda 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Equipos generador</w:t>
            </w:r>
          </w:p>
        </w:tc>
        <w:tc>
          <w:tcPr/>
          <w:p>
            <w:pPr>
              <w:pStyle w:val="Compact"/>
            </w:pPr>
            <w:r>
              <w:t xml:space="preserve">Sistema de dilución dinámica / calibrador T700 o equivalente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 comparativo</w:t>
            </w:r>
          </w:p>
        </w:tc>
        <w:tc>
          <w:tcPr/>
          <w:p>
            <w:pPr>
              <w:pStyle w:val="Compact"/>
            </w:pPr>
            <w:r>
              <w:t xml:space="preserve">Permite comparar z-score P2 (CO/SO₂) con z-score P1 (CO/SO₂ de Ronda Simple)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Identificación formal de la ronda (código, fecha)</w:t>
      </w:r>
    </w:p>
    <w:p>
      <w:pPr>
        <w:pStyle w:val="Compact"/>
        <w:numPr>
          <w:ilvl w:val="0"/>
          <w:numId w:val="1002"/>
        </w:numPr>
      </w:pPr>
      <w:r>
        <w:t xml:space="preserve">Analitos y niveles (documentar correspondencia con Ronda Simple)</w:t>
      </w:r>
    </w:p>
    <w:p>
      <w:pPr>
        <w:pStyle w:val="Compact"/>
        <w:numPr>
          <w:ilvl w:val="0"/>
          <w:numId w:val="1003"/>
        </w:numPr>
      </w:pPr>
      <w:r>
        <w:t xml:space="preserve">Verificación de vigencia de CRM reutilizados</w:t>
      </w:r>
    </w:p>
    <w:p>
      <w:pPr>
        <w:pStyle w:val="Compact"/>
        <w:numPr>
          <w:ilvl w:val="0"/>
          <w:numId w:val="1004"/>
        </w:numPr>
      </w:pPr>
      <w:r>
        <w:t xml:space="preserve">Equipos de generación y dilución asignados</w:t>
      </w:r>
    </w:p>
    <w:p>
      <w:pPr>
        <w:pStyle w:val="Compact"/>
        <w:numPr>
          <w:ilvl w:val="0"/>
          <w:numId w:val="1005"/>
        </w:numPr>
      </w:pPr>
      <w:r>
        <w:t xml:space="preserve">Cronograma detallado de la jornada</w:t>
      </w:r>
    </w:p>
    <w:p>
      <w:pPr>
        <w:pStyle w:val="Compact"/>
        <w:numPr>
          <w:ilvl w:val="0"/>
          <w:numId w:val="1006"/>
        </w:numPr>
      </w:pPr>
      <w:r>
        <w:t xml:space="preserve">Personal responsable con firmas</w:t>
      </w:r>
    </w:p>
    <w:p>
      <w:pPr>
        <w:pStyle w:val="Compact"/>
        <w:numPr>
          <w:ilvl w:val="0"/>
          <w:numId w:val="1007"/>
        </w:numPr>
      </w:pPr>
      <w:r>
        <w:t xml:space="preserve">Criterios de aceptación (s_hom ≤ 0,3×σ_pt, estabilidad ≤ 0,3×σ_pt)</w:t>
      </w:r>
    </w:p>
    <w:p>
      <w:pPr>
        <w:pStyle w:val="Compact"/>
        <w:numPr>
          <w:ilvl w:val="0"/>
          <w:numId w:val="1008"/>
        </w:numPr>
      </w:pPr>
      <w:r>
        <w:t xml:space="preserve">Método de cálculo de x_pt y σ_pt (idéntico a Ronda Simple)</w:t>
      </w:r>
    </w:p>
    <w:p>
      <w:pPr>
        <w:pStyle w:val="Compact"/>
        <w:numPr>
          <w:ilvl w:val="0"/>
          <w:numId w:val="1009"/>
        </w:numPr>
      </w:pPr>
      <w:r>
        <w:t xml:space="preserve">Plan de comparación con resultados de Ronda Simple</w:t>
      </w:r>
    </w:p>
    <w:p>
      <w:pPr>
        <w:pStyle w:val="Compact"/>
        <w:numPr>
          <w:ilvl w:val="0"/>
          <w:numId w:val="1010"/>
        </w:numPr>
      </w:pPr>
      <w:r>
        <w:t xml:space="preserve">Aprobación del plan por dirección técnica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2026-06-19T12:35:46Z</dcterms:created>
  <dcterms:modified xsi:type="dcterms:W3CDTF">2026-06-19T12:35:46Z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