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4620f3f142a5b5bc0fd72c9f979085b2752c82"/>
    <w:p>
      <w:pPr>
        <w:pStyle w:val="Heading1"/>
      </w:pPr>
      <w:r>
        <w:t xml:space="preserve">P-PSEA-03 Control de registros y evidencias del PEA</w:t>
      </w:r>
    </w:p>
    <w:bookmarkStart w:id="1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como se identifican, clasifican, registran, verifican y cierran los registros y evidencias generadas por rondas, eventos o periodos del Programa de Ensayos de Aptitud para Gases Contaminantes Criterio.</w:t>
      </w:r>
    </w:p>
    <w:bookmarkEnd w:id="19"/>
    <w:bookmarkStart w:id="20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registros, formatos diligenciados, evidencias tecnicas, exportaciones digitales, anexos CSV conservados y soportes trazables generados durante la planificacion, ejecucion, analisis, informe y gestion de casos del PEA. No lista el universo documental maestro del sistema; esa funcion corresponde a</w:t>
      </w:r>
      <w:r>
        <w:t xml:space="preserve"> </w:t>
      </w:r>
      <w:r>
        <w:rPr>
          <w:rStyle w:val="VerbatimChar"/>
        </w:rPr>
        <w:t xml:space="preserve">P-PSEA-02</w:t>
      </w:r>
      <w:r>
        <w:t xml:space="preserve">.</w:t>
      </w:r>
    </w:p>
    <w:bookmarkEnd w:id="20"/>
    <w:bookmarkStart w:id="21" w:name="principios-de-control"/>
    <w:p>
      <w:pPr>
        <w:pStyle w:val="Heading2"/>
      </w:pPr>
      <w:r>
        <w:t xml:space="preserve">Principios de control</w:t>
      </w:r>
    </w:p>
    <w:p>
      <w:pPr>
        <w:pStyle w:val="Compact"/>
        <w:numPr>
          <w:ilvl w:val="0"/>
          <w:numId w:val="1001"/>
        </w:numPr>
      </w:pPr>
      <w:r>
        <w:t xml:space="preserve">Cada evidencia debe asociarse con una ronda, evento o periodo de control.</w:t>
      </w:r>
    </w:p>
    <w:p>
      <w:pPr>
        <w:pStyle w:val="Compact"/>
        <w:numPr>
          <w:ilvl w:val="0"/>
          <w:numId w:val="1001"/>
        </w:numPr>
      </w:pPr>
      <w:r>
        <w:t xml:space="preserve">Cada registro debe tener codigo o identificador, origen, responsable, fecha de generacion y ubicacion.</w:t>
      </w:r>
    </w:p>
    <w:p>
      <w:pPr>
        <w:pStyle w:val="Compact"/>
        <w:numPr>
          <w:ilvl w:val="0"/>
          <w:numId w:val="1001"/>
        </w:numPr>
      </w:pPr>
      <w:r>
        <w:t xml:space="preserve">Los formatos maestros no se tratan como evidencia hasta que son diligenciados, exportados o emitidos para una ronda especifica.</w:t>
      </w:r>
    </w:p>
    <w:p>
      <w:pPr>
        <w:pStyle w:val="Compact"/>
        <w:numPr>
          <w:ilvl w:val="0"/>
          <w:numId w:val="1001"/>
        </w:numPr>
      </w:pPr>
      <w:r>
        <w:t xml:space="preserve">Los datos provenientes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deben conservar trazabilidad de aplicativo, version o exportacion cuando aplique.</w:t>
      </w:r>
    </w:p>
    <w:p>
      <w:pPr>
        <w:pStyle w:val="Compact"/>
        <w:numPr>
          <w:ilvl w:val="0"/>
          <w:numId w:val="1001"/>
        </w:numPr>
      </w:pPr>
      <w:r>
        <w:t xml:space="preserve">Los CSV tecnicos solo se conservan como evidencia cuando soportan una decision, calculo, validacion, trazabilidad de datos o reconstruccion del resultado.</w:t>
      </w:r>
    </w:p>
    <w:p>
      <w:pPr>
        <w:pStyle w:val="Compact"/>
        <w:numPr>
          <w:ilvl w:val="0"/>
          <w:numId w:val="1001"/>
        </w:numPr>
      </w:pPr>
      <w:r>
        <w:t xml:space="preserve">Cada evidencia se guarda en la etapa que la genera o la usa principalmente.</w:t>
      </w:r>
    </w:p>
    <w:p>
      <w:pPr>
        <w:pStyle w:val="Compact"/>
        <w:numPr>
          <w:ilvl w:val="0"/>
          <w:numId w:val="1001"/>
        </w:numPr>
      </w:pPr>
      <w:r>
        <w:t xml:space="preserve">La raiz de cada ronda debe permanecer limpia: solo contiene</w:t>
      </w:r>
      <w:r>
        <w:t xml:space="preserve"> </w:t>
      </w:r>
      <w:r>
        <w:rPr>
          <w:rStyle w:val="VerbatimChar"/>
        </w:rPr>
        <w:t xml:space="preserve">checklist_ronda.md</w:t>
      </w:r>
      <w:r>
        <w:t xml:space="preserve"> </w:t>
      </w:r>
      <w:r>
        <w:t xml:space="preserve">y las siete carpetas de etapa.</w:t>
      </w:r>
    </w:p>
    <w:bookmarkEnd w:id="21"/>
    <w:bookmarkStart w:id="22" w:name="estructura-simple-de-ronda"/>
    <w:p>
      <w:pPr>
        <w:pStyle w:val="Heading2"/>
      </w:pPr>
      <w:r>
        <w:t xml:space="preserve">Estructura simple de ronda</w:t>
      </w:r>
    </w:p>
    <w:p>
      <w:pPr>
        <w:pStyle w:val="FirstParagraph"/>
      </w:pPr>
      <w:r>
        <w:t xml:space="preserve">Cada ronda se controla como una carpeta independiente dentro de</w:t>
      </w:r>
      <w:r>
        <w:t xml:space="preserve"> </w:t>
      </w:r>
      <w:r>
        <w:rPr>
          <w:rStyle w:val="VerbatimChar"/>
        </w:rPr>
        <w:t xml:space="preserve">02_despliegue_rondas/</w:t>
      </w:r>
      <w:r>
        <w:t xml:space="preserve">. Para la prueba piloto,</w:t>
      </w:r>
      <w:r>
        <w:t xml:space="preserve"> </w:t>
      </w:r>
      <w:r>
        <w:rPr>
          <w:rStyle w:val="VerbatimChar"/>
        </w:rPr>
        <w:t xml:space="preserve">EA-PP-2026-R1</w:t>
      </w:r>
      <w:r>
        <w:t xml:space="preserve"> </w:t>
      </w:r>
      <w:r>
        <w:t xml:space="preserve">se trata como una ronda y no como bloque documental independiente.</w:t>
      </w:r>
    </w:p>
    <w:p>
      <w:pPr>
        <w:pStyle w:val="BodyText"/>
      </w:pPr>
      <w:r>
        <w:t xml:space="preserve">La estructura minima de una ronda es:</w:t>
      </w:r>
    </w:p>
    <w:p>
      <w:pPr>
        <w:pStyle w:val="SourceCode"/>
      </w:pPr>
      <w:r>
        <w:rPr>
          <w:rStyle w:val="VerbatimChar"/>
        </w:rPr>
        <w:t xml:space="preserve">02_despliegue_rondas/</w:t>
      </w:r>
      <w:r>
        <w:br/>
      </w:r>
      <w:r>
        <w:rPr>
          <w:rStyle w:val="VerbatimChar"/>
        </w:rPr>
        <w:t xml:space="preserve">  &lt;codigo_ronda&gt;/</w:t>
      </w:r>
      <w:r>
        <w:br/>
      </w:r>
      <w:r>
        <w:rPr>
          <w:rStyle w:val="VerbatimChar"/>
        </w:rPr>
        <w:t xml:space="preserve">    checklist_ronda.md</w:t>
      </w:r>
      <w:r>
        <w:br/>
      </w:r>
      <w:r>
        <w:rPr>
          <w:rStyle w:val="VerbatimChar"/>
        </w:rPr>
        <w:t xml:space="preserve">    01_planificacion_ronda/</w:t>
      </w:r>
      <w:r>
        <w:br/>
      </w:r>
      <w:r>
        <w:rPr>
          <w:rStyle w:val="VerbatimChar"/>
        </w:rPr>
        <w:t xml:space="preserve">    02_comunicaciones_participantes/</w:t>
      </w:r>
      <w:r>
        <w:br/>
      </w:r>
      <w:r>
        <w:rPr>
          <w:rStyle w:val="VerbatimChar"/>
        </w:rPr>
        <w:t xml:space="preserve">    03_preparacion_item/</w:t>
      </w:r>
      <w:r>
        <w:br/>
      </w:r>
      <w:r>
        <w:rPr>
          <w:rStyle w:val="VerbatimChar"/>
        </w:rPr>
        <w:t xml:space="preserve">    04_datos_y_preprocesamiento/</w:t>
      </w:r>
      <w:r>
        <w:br/>
      </w:r>
      <w:r>
        <w:rPr>
          <w:rStyle w:val="VerbatimChar"/>
        </w:rPr>
        <w:t xml:space="preserve">    05_homogeneidad_estabilidad/</w:t>
      </w:r>
      <w:r>
        <w:br/>
      </w:r>
      <w:r>
        <w:rPr>
          <w:rStyle w:val="VerbatimChar"/>
        </w:rPr>
        <w:t xml:space="preserve">    06_analisis_e_informe/</w:t>
      </w:r>
      <w:r>
        <w:br/>
      </w:r>
      <w:r>
        <w:rPr>
          <w:rStyle w:val="VerbatimChar"/>
        </w:rPr>
        <w:t xml:space="preserve">    07_cierre_sgc/</w:t>
      </w:r>
    </w:p>
    <w:p>
      <w:pPr>
        <w:pStyle w:val="FirstParagraph"/>
      </w:pPr>
      <w:r>
        <w:t xml:space="preserve">La raiz de la ronda solo contiene</w:t>
      </w:r>
      <w:r>
        <w:t xml:space="preserve"> </w:t>
      </w:r>
      <w:r>
        <w:rPr>
          <w:rStyle w:val="VerbatimChar"/>
        </w:rPr>
        <w:t xml:space="preserve">checklist_ronda.md</w:t>
      </w:r>
      <w:r>
        <w:t xml:space="preserve"> </w:t>
      </w:r>
      <w:r>
        <w:t xml:space="preserve">y las siete carpetas de etapa. La regla de archivo es simple: cada evidencia se conserva en la etapa que la genera o la usa principalmente. Las copias diligenciadas de formatos maestros se guardan en la carpeta de la ronda; los formatos maestros permanecen en</w:t>
      </w:r>
      <w:r>
        <w:t xml:space="preserve"> </w:t>
      </w:r>
      <w:r>
        <w:rPr>
          <w:rStyle w:val="VerbatimChar"/>
        </w:rPr>
        <w:t xml:space="preserve">01_bloque_general/04_formatos_maestros/</w:t>
      </w:r>
      <w:r>
        <w:t xml:space="preserve">.</w:t>
      </w:r>
    </w:p>
    <w:p>
      <w:pPr>
        <w:pStyle w:val="BodyText"/>
      </w:pPr>
      <w:r>
        <w:t xml:space="preserve">La estructura inicial puede generarse con:</w:t>
      </w:r>
    </w:p>
    <w:p>
      <w:pPr>
        <w:pStyle w:val="SourceCode"/>
      </w:pPr>
      <w:r>
        <w:rPr>
          <w:rStyle w:val="ExtensionTok"/>
        </w:rPr>
        <w:t xml:space="preserve">01_bloque_general/02_procedimientos/crear_estructura_ronda.sh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codigo_ronda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crear_estructura_ronda.sh</w:t>
      </w:r>
      <w:r>
        <w:t xml:space="preserve"> </w:t>
      </w:r>
      <w:r>
        <w:t xml:space="preserve">y la plantilla</w:t>
      </w:r>
      <w:r>
        <w:t xml:space="preserve"> </w:t>
      </w:r>
      <w:r>
        <w:rPr>
          <w:rStyle w:val="VerbatimChar"/>
        </w:rPr>
        <w:t xml:space="preserve">plantilla_checklist_ronda.md</w:t>
      </w:r>
      <w:r>
        <w:t xml:space="preserve"> </w:t>
      </w:r>
      <w:r>
        <w:t xml:space="preserve">son auxiliares operativos asociados a este procedimiento; no son documentos controlados del SGC y no reciben codigo documental.</w:t>
      </w:r>
    </w:p>
    <w:bookmarkEnd w:id="22"/>
    <w:bookmarkStart w:id="23" w:name="responsabilidades"/>
    <w:p>
      <w:pPr>
        <w:pStyle w:val="Heading2"/>
      </w:pPr>
      <w:r>
        <w:t xml:space="preserve">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Definir la evidencia requerida para cada ronda y aprobar el cierre documental.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tecnico de ronda</w:t>
            </w:r>
          </w:p>
        </w:tc>
        <w:tc>
          <w:tcPr/>
          <w:p>
            <w:pPr>
              <w:pStyle w:val="Compact"/>
            </w:pPr>
            <w:r>
              <w:t xml:space="preserve">Verificar que los registros tecnicos esten completos, fechados y vinculados al flujo operativo.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datos / aplicativos</w:t>
            </w:r>
          </w:p>
        </w:tc>
        <w:tc>
          <w:tcPr/>
          <w:p>
            <w:pPr>
              <w:pStyle w:val="Compact"/>
            </w:pPr>
            <w:r>
              <w:t xml:space="preserve">Conservar exportaciones, registros de preprocesamiento, datasets oficiales y salidas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Revisar consistencia documental, codificacion, control de cambios, casos de queja, no conformidad o apelacion.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Registrar informacion solicitada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y remitir aclaraciones cuando se requiera correccion trazable.</w:t>
            </w:r>
          </w:p>
        </w:tc>
      </w:tr>
    </w:tbl>
    <w:bookmarkEnd w:id="23"/>
    <w:bookmarkStart w:id="24" w:name="X1070c1c2dfc9f4fedb526fe35df07efacce410a"/>
    <w:p>
      <w:pPr>
        <w:pStyle w:val="Heading2"/>
      </w:pPr>
      <w:r>
        <w:t xml:space="preserve">Flujo de control de registros y evidencias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Apertura de ronda o evento:</w:t>
      </w:r>
      <w:r>
        <w:t xml:space="preserve"> </w:t>
      </w:r>
      <w:r>
        <w:t xml:space="preserve">se crea identificador de ronda, se define carpeta operativa y se relacionan formatos esperados.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Planificacion:</w:t>
      </w:r>
      <w:r>
        <w:t xml:space="preserve"> </w:t>
      </w:r>
      <w:r>
        <w:t xml:space="preserve">se registran calendario, cronograma, ficha digital, plan de ronda, participacion y anexos tecnicos.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Ejecucion tecnica:</w:t>
      </w:r>
      <w:r>
        <w:t xml:space="preserve"> </w:t>
      </w:r>
      <w:r>
        <w:t xml:space="preserve">se conservan registros de preparacion/control del item, datos reportados y soportes de homogeneidad/estabilidad.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Flujo digital:</w:t>
      </w:r>
      <w:r>
        <w:t xml:space="preserve"> </w:t>
      </w:r>
      <w:r>
        <w:t xml:space="preserve">se controlan exportaciones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, registros de preprocesamiento, subformatos H/E y dataset oficial consolidado conforme a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Analisis e informe:</w:t>
      </w:r>
      <w:r>
        <w:t xml:space="preserve"> </w:t>
      </w:r>
      <w:r>
        <w:t xml:space="preserve">se verifica que resultados, graficas, tablas, criterios de desempeno e informe final tengan soporte trazable.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Casos SGC:</w:t>
      </w:r>
      <w:r>
        <w:t xml:space="preserve"> </w:t>
      </w:r>
      <w:r>
        <w:t xml:space="preserve">se registran quejas, apelaciones, trabajo no conforme, no conformidades, acciones correctivas o indicios de colusion cuando se presenten.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Cierre:</w:t>
      </w:r>
      <w:r>
        <w:t xml:space="preserve"> </w:t>
      </w:r>
      <w:r>
        <w:t xml:space="preserve">se valida completitud, ubicacion, version, responsable y estado de cada evidencia antes del cierre de ronda.</w:t>
      </w:r>
    </w:p>
    <w:bookmarkEnd w:id="24"/>
    <w:bookmarkStart w:id="25" w:name="clasificacion-de-registros-y-evidencias"/>
    <w:p>
      <w:pPr>
        <w:pStyle w:val="Heading2"/>
      </w:pPr>
      <w:r>
        <w:t xml:space="preserve">Clasificacion de registros y evidencias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  <w:tc>
          <w:tcPr/>
          <w:p>
            <w:pPr>
              <w:pStyle w:val="Compact"/>
            </w:pPr>
            <w:r>
              <w:t xml:space="preserve">Control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oficial</w:t>
            </w:r>
          </w:p>
        </w:tc>
        <w:tc>
          <w:tcPr/>
          <w:p>
            <w:pPr>
              <w:pStyle w:val="Compact"/>
            </w:pPr>
            <w:r>
              <w:t xml:space="preserve">Evidencia formal de una actividad, decision, resultado o comunicacion del PEA.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  <w:r>
              <w:t xml:space="preserve">, actas o comunicaciones formales.</w:t>
            </w:r>
          </w:p>
        </w:tc>
        <w:tc>
          <w:tcPr/>
          <w:p>
            <w:pPr>
              <w:pStyle w:val="Compact"/>
            </w:pPr>
            <w:r>
              <w:t xml:space="preserve">Codigo, ronda, fecha, responsable, version/estado y ubicacion.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t xml:space="preserve">Soporte que demuestra preparacion, medicion, analisis o verificacion tecnica.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Trazabilidad de equipo/dato, responsable tecnico y relacion con procedimiento.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t xml:space="preserve">Archivo digital conservado para reconstruir el flujo de datos o verificar resultados.</w:t>
            </w:r>
          </w:p>
        </w:tc>
        <w:tc>
          <w:tcPr/>
          <w:p>
            <w:pPr>
              <w:pStyle w:val="Compact"/>
            </w:pPr>
            <w:r>
              <w:t xml:space="preserve">CSV exportado, CSV preprocesado, dataset consolidado, salida H/E.</w:t>
            </w:r>
          </w:p>
        </w:tc>
        <w:tc>
          <w:tcPr/>
          <w:p>
            <w:pPr>
              <w:pStyle w:val="Compact"/>
            </w:pPr>
            <w:r>
              <w:t xml:space="preserve">Origen, aplicativo, fecha, version, ruta y relacion con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administrativo</w:t>
            </w:r>
          </w:p>
        </w:tc>
        <w:tc>
          <w:tcPr/>
          <w:p>
            <w:pPr>
              <w:pStyle w:val="Compact"/>
            </w:pPr>
            <w:r>
              <w:t xml:space="preserve">Evidencia de gestion de participantes, agenda, comunicaciones o casos SGC.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Responsable, fecha, asunto, estado y relacion con procedimiento aplicable.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transitorio</w:t>
            </w:r>
          </w:p>
        </w:tc>
        <w:tc>
          <w:tcPr/>
          <w:p>
            <w:pPr>
              <w:pStyle w:val="Compact"/>
            </w:pPr>
            <w:r>
              <w:t xml:space="preserve">Archivo temporal usado para trabajo operativo sin valor de evidencia permanente.</w:t>
            </w:r>
          </w:p>
        </w:tc>
        <w:tc>
          <w:tcPr/>
          <w:p>
            <w:pPr>
              <w:pStyle w:val="Compact"/>
            </w:pPr>
            <w:r>
              <w:t xml:space="preserve">Borradores intermedios, descargas duplicadas, pruebas de carga.</w:t>
            </w:r>
          </w:p>
        </w:tc>
        <w:tc>
          <w:tcPr/>
          <w:p>
            <w:pPr>
              <w:pStyle w:val="Compact"/>
            </w:pPr>
            <w:r>
              <w:t xml:space="preserve">No se conserva como evidencia; se depura o se deja fuera del cierre.</w:t>
            </w:r>
          </w:p>
        </w:tc>
      </w:tr>
    </w:tbl>
    <w:bookmarkEnd w:id="25"/>
    <w:bookmarkStart w:id="26" w:name="matriz-resumen-de-registros-y-evidencias"/>
    <w:p>
      <w:pPr>
        <w:pStyle w:val="Heading2"/>
      </w:pPr>
      <w:r>
        <w:t xml:space="preserve">Matriz resumen de registros y evidencias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evidencia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Momento de generacion</w:t>
            </w:r>
          </w:p>
        </w:tc>
        <w:tc>
          <w:tcPr/>
          <w:p>
            <w:pPr>
              <w:pStyle w:val="Compact"/>
            </w:pPr>
            <w:r>
              <w:t xml:space="preserve">Responsable primario</w:t>
            </w:r>
          </w:p>
        </w:tc>
        <w:tc>
          <w:tcPr/>
          <w:p>
            <w:pPr>
              <w:pStyle w:val="Compact"/>
            </w:pPr>
            <w:r>
              <w:t xml:space="preserve">Tipo de evidencia</w:t>
            </w:r>
          </w:p>
        </w:tc>
        <w:tc>
          <w:tcPr/>
          <w:p>
            <w:pPr>
              <w:pStyle w:val="Compact"/>
            </w:pPr>
            <w:r>
              <w:t xml:space="preserve">Relacion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/ planificacion</w:t>
            </w:r>
          </w:p>
        </w:tc>
        <w:tc>
          <w:tcPr/>
          <w:p>
            <w:pPr>
              <w:pStyle w:val="Compact"/>
            </w:pPr>
            <w:r>
              <w:t xml:space="preserve">Apertura y planificacion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Soporte administrativo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/ formato maestro</w:t>
            </w:r>
          </w:p>
        </w:tc>
        <w:tc>
          <w:tcPr/>
          <w:p>
            <w:pPr>
              <w:pStyle w:val="Compact"/>
            </w:pPr>
            <w:r>
              <w:t xml:space="preserve">Planificacion detallada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Soporte administrativo / evidencia de planificacion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 y carga de datos del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Inscripcion, confirmacion, carga de datos, equipos y cierre de participacion</w:t>
            </w:r>
          </w:p>
        </w:tc>
        <w:tc>
          <w:tcPr/>
          <w:p>
            <w:pPr>
              <w:pStyle w:val="Compact"/>
            </w:pPr>
            <w:r>
              <w:t xml:space="preserve">Participante / Coordinacion del PEA</w:t>
            </w:r>
          </w:p>
        </w:tc>
        <w:tc>
          <w:tcPr/>
          <w:p>
            <w:pPr>
              <w:pStyle w:val="Compact"/>
            </w:pPr>
            <w:r>
              <w:t xml:space="preserve">Registro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</w:t>
            </w:r>
          </w:p>
        </w:tc>
        <w:tc>
          <w:tcPr/>
          <w:p>
            <w:pPr>
              <w:pStyle w:val="Compact"/>
            </w:pPr>
            <w:r>
              <w:t xml:space="preserve">Exportacion desde</w:t>
            </w:r>
            <w:r>
              <w:t xml:space="preserve"> </w:t>
            </w:r>
            <w:r>
              <w:rPr>
                <w:rStyle w:val="VerbatimChar"/>
              </w:rPr>
              <w:t xml:space="preserve">F-PSEA-03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Inscripcion tecnica y preparacion de analisis</w:t>
            </w:r>
          </w:p>
        </w:tc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Ficha basica de ronda EA</w:t>
            </w:r>
          </w:p>
        </w:tc>
        <w:tc>
          <w:tcPr/>
          <w:p>
            <w:pPr>
              <w:pStyle w:val="Compact"/>
            </w:pPr>
            <w:r>
              <w:t xml:space="preserve">Coordinacion del PEA 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Apertura y control resumido de la ronda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Ficha resumen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de ronda EA</w:t>
            </w:r>
          </w:p>
        </w:tc>
        <w:tc>
          <w:tcPr/>
          <w:p>
            <w:pPr>
              <w:pStyle w:val="Compact"/>
            </w:pPr>
            <w:r>
              <w:t xml:space="preserve">Coordinacion del PEA 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Antes de ejecucion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Registro oficial de planificacion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</w:t>
            </w:r>
          </w:p>
        </w:tc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gaseoso</w:t>
            </w:r>
          </w:p>
        </w:tc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</w:t>
            </w:r>
          </w:p>
        </w:tc>
        <w:tc>
          <w:tcPr/>
          <w:p>
            <w:pPr>
              <w:pStyle w:val="Compact"/>
            </w:pPr>
            <w:r>
              <w:t xml:space="preserve">Participante 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Reporte de resultados por participante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Registro oficial de datos reportados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Transferencia 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Homogeneidad y estabilidad del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/ responsable tecnico</w:t>
            </w:r>
          </w:p>
        </w:tc>
        <w:tc>
          <w:tcPr/>
          <w:p>
            <w:pPr>
              <w:pStyle w:val="Compact"/>
            </w:pPr>
            <w:r>
              <w:t xml:space="preserve">Evaluacion H/E</w:t>
            </w:r>
          </w:p>
        </w:tc>
        <w:tc>
          <w:tcPr/>
          <w:p>
            <w:pPr>
              <w:pStyle w:val="Compact"/>
            </w:pPr>
            <w:r>
              <w:t xml:space="preserve">Responsable tecnico / Responsable de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 H/E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 H/E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Evaluacion H/E</w:t>
            </w:r>
          </w:p>
        </w:tc>
        <w:tc>
          <w:tcPr/>
          <w:p>
            <w:pPr>
              <w:pStyle w:val="Compact"/>
            </w:pPr>
            <w:r>
              <w:t xml:space="preserve">Responsable tecnico /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Evaluacion H/E</w:t>
            </w:r>
          </w:p>
        </w:tc>
        <w:tc>
          <w:tcPr/>
          <w:p>
            <w:pPr>
              <w:pStyle w:val="Compact"/>
            </w:pPr>
            <w:r>
              <w:t xml:space="preserve">Responsable tecnico /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Cierre de preprocesamiento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Dataset oficial / 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/ Coordinacion</w:t>
            </w:r>
          </w:p>
        </w:tc>
        <w:tc>
          <w:tcPr/>
          <w:p>
            <w:pPr>
              <w:pStyle w:val="Compact"/>
            </w:pPr>
            <w:r>
              <w:t xml:space="preserve">Cierre y emision</w:t>
            </w:r>
          </w:p>
        </w:tc>
        <w:tc>
          <w:tcPr/>
          <w:p>
            <w:pPr>
              <w:pStyle w:val="Compact"/>
            </w:pPr>
            <w:r>
              <w:t xml:space="preserve">Coordinacion / Responsable tecnico</w:t>
            </w:r>
          </w:p>
        </w:tc>
        <w:tc>
          <w:tcPr/>
          <w:p>
            <w:pPr>
              <w:pStyle w:val="Compact"/>
            </w:pPr>
            <w:r>
              <w:t xml:space="preserve">Registro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caso de queja o NC segun aplique</w:t>
            </w:r>
          </w:p>
        </w:tc>
        <w:tc>
          <w:tcPr/>
          <w:p>
            <w:pPr>
              <w:pStyle w:val="Compact"/>
            </w:pPr>
            <w:r>
              <w:t xml:space="preserve">Coordinacion / SGC</w:t>
            </w:r>
          </w:p>
        </w:tc>
        <w:tc>
          <w:tcPr/>
          <w:p>
            <w:pPr>
              <w:pStyle w:val="Compact"/>
            </w:pPr>
            <w:r>
              <w:t xml:space="preserve">Cuando se presenta caso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Coordinacion / SGC</w:t>
            </w:r>
          </w:p>
        </w:tc>
        <w:tc>
          <w:tcPr/>
          <w:p>
            <w:pPr>
              <w:pStyle w:val="Compact"/>
            </w:pPr>
            <w:r>
              <w:t xml:space="preserve">Cuando se presenta apelacion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Matriz de competencia y autorizacion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Antes y durante ejecucion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Matriz de 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Evaluacion de proveedores criticos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Seleccion/evaluacion de proveedor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exportado desde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Exportacion operativa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Transferencia a analisis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 si se conserva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preprocesado o consolidado</w:t>
            </w:r>
          </w:p>
        </w:tc>
        <w:tc>
          <w:tcPr/>
          <w:p>
            <w:pPr>
              <w:pStyle w:val="Compact"/>
            </w:pPr>
            <w:r>
              <w:t xml:space="preserve">Archivo de trabajo reproducible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 / consolidacion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Evidencia tecnica si soporta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F-PSEA-12</w:t>
            </w:r>
          </w:p>
        </w:tc>
      </w:tr>
    </w:tbl>
    <w:bookmarkEnd w:id="26"/>
    <w:bookmarkStart w:id="27" w:name="checklist-de-ronda"/>
    <w:p>
      <w:pPr>
        <w:pStyle w:val="Heading2"/>
      </w:pPr>
      <w:r>
        <w:t xml:space="preserve">Checklist de ronda</w:t>
      </w:r>
    </w:p>
    <w:p>
      <w:pPr>
        <w:pStyle w:val="FirstParagraph"/>
      </w:pPr>
      <w:r>
        <w:t xml:space="preserve">No se exige mantener manualmente una matriz operativa por ronda con estados como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en_revision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completo</w:t>
      </w:r>
      <w:r>
        <w:t xml:space="preserve">. Ese control manual no escala y no debe convertirse en carga documental obligatoria.</w:t>
      </w:r>
    </w:p>
    <w:p>
      <w:pPr>
        <w:pStyle w:val="BodyText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checklist_ronda.md</w:t>
      </w:r>
      <w:r>
        <w:t xml:space="preserve"> </w:t>
      </w:r>
      <w:r>
        <w:t xml:space="preserve">es el unico archivo previsto en la raiz de la ronda. Si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exporta un indice automatico de evidencias, ese indice debe conservarse en la carpeta de etapa que corresponda a su uso principal, no en la raiz.</w:t>
      </w:r>
    </w:p>
    <w:bookmarkEnd w:id="27"/>
    <w:bookmarkStart w:id="28" w:name="verificacion-de-completitud"/>
    <w:p>
      <w:pPr>
        <w:pStyle w:val="Heading2"/>
      </w:pPr>
      <w:r>
        <w:t xml:space="preserve">Verificacion de completitud</w:t>
      </w:r>
    </w:p>
    <w:p>
      <w:pPr>
        <w:pStyle w:val="FirstParagraph"/>
      </w:pPr>
      <w:r>
        <w:t xml:space="preserve">Antes de cerrar una ronda se debe confirmar que:</w:t>
      </w:r>
    </w:p>
    <w:p>
      <w:pPr>
        <w:pStyle w:val="Compact"/>
        <w:numPr>
          <w:ilvl w:val="0"/>
          <w:numId w:val="1003"/>
        </w:numPr>
      </w:pPr>
      <w:r>
        <w:t xml:space="preserve">El cronograma detallado (</w:t>
      </w:r>
      <w:r>
        <w:rPr>
          <w:rStyle w:val="VerbatimChar"/>
        </w:rPr>
        <w:t xml:space="preserve">F-PSEA-02</w:t>
      </w:r>
      <w:r>
        <w:t xml:space="preserve">) refleja actividades, responsables, fechas y dependencias relevantes.</w:t>
      </w:r>
    </w:p>
    <w:p>
      <w:pPr>
        <w:pStyle w:val="Compact"/>
        <w:numPr>
          <w:ilvl w:val="0"/>
          <w:numId w:val="1003"/>
        </w:numPr>
      </w:pPr>
      <w:r>
        <w:t xml:space="preserve">El registro de participacion (</w:t>
      </w:r>
      <w:r>
        <w:rPr>
          <w:rStyle w:val="VerbatimChar"/>
        </w:rPr>
        <w:t xml:space="preserve">F-PSEA-03</w:t>
      </w:r>
      <w:r>
        <w:t xml:space="preserve">) incluye la carga de datos del participante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, su estado de participacion, datos de contacto, personal autorizado, equipos declarados y aceptacion de condiciones.</w:t>
      </w:r>
    </w:p>
    <w:p>
      <w:pPr>
        <w:pStyle w:val="Compact"/>
        <w:numPr>
          <w:ilvl w:val="0"/>
          <w:numId w:val="1003"/>
        </w:numPr>
      </w:pPr>
      <w:r>
        <w:t xml:space="preserve">Las exportaciones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estan vinculadas con los registros de participantes, equipos y datos reportados.</w:t>
      </w:r>
    </w:p>
    <w:p>
      <w:pPr>
        <w:pStyle w:val="Compact"/>
        <w:numPr>
          <w:ilvl w:val="0"/>
          <w:numId w:val="1003"/>
        </w:numPr>
      </w:pPr>
      <w:r>
        <w:t xml:space="preserve">El registro de preprocesamiento (</w:t>
      </w:r>
      <w:r>
        <w:rPr>
          <w:rStyle w:val="VerbatimChar"/>
        </w:rPr>
        <w:t xml:space="preserve">F-PSEA-10</w:t>
      </w:r>
      <w:r>
        <w:t xml:space="preserve">) identifica entradas, salidas, fecha, version de herramienta y responsable.</w:t>
      </w:r>
    </w:p>
    <w:p>
      <w:pPr>
        <w:pStyle w:val="Compact"/>
        <w:numPr>
          <w:ilvl w:val="0"/>
          <w:numId w:val="1003"/>
        </w:numPr>
      </w:pPr>
      <w:r>
        <w:t xml:space="preserve">Los registros H/E (</w:t>
      </w:r>
      <w:r>
        <w:rPr>
          <w:rStyle w:val="VerbatimChar"/>
        </w:rPr>
        <w:t xml:space="preserve">F-PSEA-11</w:t>
      </w:r>
      <w:r>
        <w:t xml:space="preserve">,</w:t>
      </w:r>
      <w:r>
        <w:t xml:space="preserve"> </w:t>
      </w:r>
      <w:r>
        <w:rPr>
          <w:rStyle w:val="VerbatimChar"/>
        </w:rPr>
        <w:t xml:space="preserve">F-PSEA-11A-D</w:t>
      </w:r>
      <w:r>
        <w:t xml:space="preserve">) quedan asociados con el item de ensayo, los datos procesados y los resultados aplicables.</w:t>
      </w:r>
    </w:p>
    <w:p>
      <w:pPr>
        <w:pStyle w:val="Compact"/>
        <w:numPr>
          <w:ilvl w:val="0"/>
          <w:numId w:val="1003"/>
        </w:numPr>
      </w:pPr>
      <w:r>
        <w:t xml:space="preserve">El dataset oficial (</w:t>
      </w:r>
      <w:r>
        <w:rPr>
          <w:rStyle w:val="VerbatimChar"/>
        </w:rPr>
        <w:t xml:space="preserve">F-PSEA-12</w:t>
      </w:r>
      <w:r>
        <w:t xml:space="preserve">) coincide con el insumo usado para calculos de desempeno e informe final.</w:t>
      </w:r>
    </w:p>
    <w:p>
      <w:pPr>
        <w:pStyle w:val="Compact"/>
        <w:numPr>
          <w:ilvl w:val="0"/>
          <w:numId w:val="1003"/>
        </w:numPr>
      </w:pPr>
      <w:r>
        <w:t xml:space="preserve">El informe final (</w:t>
      </w:r>
      <w:r>
        <w:rPr>
          <w:rStyle w:val="VerbatimChar"/>
        </w:rPr>
        <w:t xml:space="preserve">F-PSEA-13</w:t>
      </w:r>
      <w:r>
        <w:t xml:space="preserve">) cita o conserva las evidencias que soportan los resultados.</w:t>
      </w:r>
    </w:p>
    <w:p>
      <w:pPr>
        <w:pStyle w:val="Compact"/>
        <w:numPr>
          <w:ilvl w:val="0"/>
          <w:numId w:val="1003"/>
        </w:numPr>
      </w:pPr>
      <w:r>
        <w:t xml:space="preserve">Los casos de queja, apelacion, no conformidad o trabajo no conforme quedan registrados cuando apliquen.</w:t>
      </w:r>
    </w:p>
    <w:bookmarkEnd w:id="28"/>
    <w:bookmarkStart w:id="29" w:name="Xeb025c7acff7a9308b7403f4dc245509be908ad"/>
    <w:p>
      <w:pPr>
        <w:pStyle w:val="Heading2"/>
      </w:pPr>
      <w:r>
        <w:t xml:space="preserve">Control de cambios, correcciones y sustituciones</w:t>
      </w:r>
    </w:p>
    <w:p>
      <w:pPr>
        <w:pStyle w:val="FirstParagraph"/>
      </w:pPr>
      <w:r>
        <w:t xml:space="preserve">Cuando una evidencia se corrija o sustituya, la carpeta de la etapa correspondiente o el indice automatico exportado por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, cuando exista, debe permitir identificar:</w:t>
      </w:r>
    </w:p>
    <w:p>
      <w:pPr>
        <w:pStyle w:val="Compact"/>
        <w:numPr>
          <w:ilvl w:val="0"/>
          <w:numId w:val="1004"/>
        </w:numPr>
      </w:pPr>
      <w:r>
        <w:t xml:space="preserve">identificador de la evidencia reemplazada;</w:t>
      </w:r>
    </w:p>
    <w:p>
      <w:pPr>
        <w:pStyle w:val="Compact"/>
        <w:numPr>
          <w:ilvl w:val="0"/>
          <w:numId w:val="1004"/>
        </w:numPr>
      </w:pPr>
      <w:r>
        <w:t xml:space="preserve">razon de la correccion;</w:t>
      </w:r>
    </w:p>
    <w:p>
      <w:pPr>
        <w:pStyle w:val="Compact"/>
        <w:numPr>
          <w:ilvl w:val="0"/>
          <w:numId w:val="1004"/>
        </w:numPr>
      </w:pPr>
      <w:r>
        <w:t xml:space="preserve">fecha y responsable de la sustitucion;</w:t>
      </w:r>
    </w:p>
    <w:p>
      <w:pPr>
        <w:pStyle w:val="Compact"/>
        <w:numPr>
          <w:ilvl w:val="0"/>
          <w:numId w:val="1004"/>
        </w:numPr>
      </w:pPr>
      <w:r>
        <w:t xml:space="preserve">ubicacion de la version vigente;</w:t>
      </w:r>
    </w:p>
    <w:p>
      <w:pPr>
        <w:pStyle w:val="Compact"/>
        <w:numPr>
          <w:ilvl w:val="0"/>
          <w:numId w:val="1004"/>
        </w:numPr>
      </w:pPr>
      <w:r>
        <w:t xml:space="preserve">decision sobre conservacion o retiro de la version anterior.</w:t>
      </w:r>
    </w:p>
    <w:p>
      <w:pPr>
        <w:pStyle w:val="FirstParagraph"/>
      </w:pPr>
      <w:r>
        <w:t xml:space="preserve">Las correcciones de datos reportados por participantes deben conservar trazabilidad de comunicacion y autorizacion, sin modificar silenciosamente el registro original.</w:t>
      </w:r>
    </w:p>
    <w:bookmarkEnd w:id="29"/>
    <w:bookmarkStart w:id="30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P-PSEA-02</w:t>
            </w:r>
          </w:p>
        </w:tc>
        <w:tc>
          <w:tcPr/>
          <w:p>
            <w:pPr>
              <w:pStyle w:val="Compact"/>
            </w:pPr>
            <w:r>
              <w:t xml:space="preserve">Matriz documental maestra; diferencia documentos controlados de evidencias por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que genera registros de cronograma, participacion, ficha y plan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que genera evidencias tecnicas.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Diseno estadistico que usa H/E, dataset oficial y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y clasificacion de CSV/anexos.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final.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de origen para participantes, cronograma y datos reportados.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de preprocesamiento, analisis e informe.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</w:tbl>
    <w:bookmarkEnd w:id="30"/>
    <w:bookmarkStart w:id="31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5"/>
        </w:numPr>
      </w:pPr>
      <w:r>
        <w:t xml:space="preserve">No lista todos los documentos maestros del SGC; esa funcion corresponde a</w:t>
      </w:r>
      <w:r>
        <w:t xml:space="preserve"> </w:t>
      </w:r>
      <w:r>
        <w:rPr>
          <w:rStyle w:val="VerbatimChar"/>
        </w:rPr>
        <w:t xml:space="preserve">P-PSEA-02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define criterios estadisticos ni reglas de decision; esa funcion corresponde a</w:t>
      </w:r>
      <w:r>
        <w:t xml:space="preserve"> </w:t>
      </w:r>
      <w:r>
        <w:rPr>
          <w:rStyle w:val="VerbatimChar"/>
        </w:rPr>
        <w:t xml:space="preserve">P-PSEA-07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describe el flujo tecnico interno de aplicativos; esa funcion corresponde a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 </w:t>
      </w:r>
      <w:r>
        <w:t xml:space="preserve">y sus instructivos asociados.</w:t>
      </w:r>
    </w:p>
    <w:p>
      <w:pPr>
        <w:pStyle w:val="Compact"/>
        <w:numPr>
          <w:ilvl w:val="0"/>
          <w:numId w:val="1005"/>
        </w:numPr>
      </w:pPr>
      <w:r>
        <w:t xml:space="preserve">No reemplaza el control documental institucional de version, aprobacion, retencion o disposicion final.</w:t>
      </w:r>
    </w:p>
    <w:bookmarkEnd w:id="31"/>
    <w:bookmarkEnd w:id="32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2026-06-29T13:51:17Z</dcterms:created>
  <dcterms:modified xsi:type="dcterms:W3CDTF">2026-06-29T13:51:17Z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