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cddd819f491b6255d743c203a3936cb8e2b99c"/>
    <w:p>
      <w:pPr>
        <w:pStyle w:val="Heading1"/>
      </w:pPr>
      <w:r>
        <w:t xml:space="preserve">Instrucciones - P-PSEA-05 Comunicaciones del PEA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rPr>
          <w:rStyle w:val="VerbatimChar"/>
        </w:rPr>
        <w:t xml:space="preserve">P-PSEA-05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Procedimiento transversal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creacion como maestro documental</w:t>
      </w:r>
      <w:r>
        <w:br/>
      </w:r>
      <w:r>
        <w:rPr>
          <w:b/>
          <w:bCs/>
        </w:rPr>
        <w:t xml:space="preserve">Ubicacion esperada:</w:t>
      </w:r>
      <w:r>
        <w:t xml:space="preserve"> </w:t>
      </w:r>
      <w:r>
        <w:rPr>
          <w:rStyle w:val="VerbatimChar"/>
        </w:rPr>
        <w:t xml:space="preserve">01_bloque_general/02_procedimientos/P-PSEA-05 Comunicaciones del PEA.docx</w:t>
      </w:r>
    </w:p>
    <w:p>
      <w:r>
        <w:pict>
          <v:rect style="width:0;height:1.5pt" o:hralign="center" o:hrstd="t" o:hr="t"/>
        </w:pict>
      </w:r>
    </w:p>
    <w:bookmarkStart w:id="19" w:name="proposito"/>
    <w:p>
      <w:pPr>
        <w:pStyle w:val="Heading2"/>
      </w:pPr>
      <w:r>
        <w:t xml:space="preserve">Proposito</w:t>
      </w:r>
    </w:p>
    <w:p>
      <w:pPr>
        <w:pStyle w:val="FirstParagraph"/>
      </w:pPr>
      <w:r>
        <w:t xml:space="preserve">Definir como se emiten, reciben, registran, conservan y trazan las comunicaciones internas y externas del Proveedor de Ensayos de Aptitud (PEA) durante la planificacion, ejecucion, evaluacion y cierre de las rondas.</w:t>
      </w:r>
    </w:p>
    <w:p>
      <w:pPr>
        <w:pStyle w:val="BodyText"/>
      </w:pPr>
      <w:r>
        <w:t xml:space="preserve">El procedimiento debe asegurar que toda comunicacion critica del ensayo quede asociada a una ronda, a un responsable, a una evidencia verificable y, cuando aplique, a un caso o registro del SGC.</w:t>
      </w:r>
    </w:p>
    <w:p>
      <w:r>
        <w:pict>
          <v:rect style="width:0;height:1.5pt" o:hralign="center" o:hrstd="t" o:hr="t"/>
        </w:pict>
      </w:r>
    </w:p>
    <w:bookmarkEnd w:id="19"/>
    <w:bookmarkStart w:id="20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Aplica a las comunicaciones relacionadas con:</w:t>
      </w:r>
    </w:p>
    <w:p>
      <w:pPr>
        <w:pStyle w:val="Compact"/>
        <w:numPr>
          <w:ilvl w:val="0"/>
          <w:numId w:val="1001"/>
        </w:numPr>
      </w:pPr>
      <w:r>
        <w:t xml:space="preserve">invitacion y confirmacion de participantes;</w:t>
      </w:r>
    </w:p>
    <w:p>
      <w:pPr>
        <w:pStyle w:val="Compact"/>
        <w:numPr>
          <w:ilvl w:val="0"/>
          <w:numId w:val="1001"/>
        </w:numPr>
      </w:pPr>
      <w:r>
        <w:t xml:space="preserve">instrucciones tecnicas y operativas de ronda;</w:t>
      </w:r>
    </w:p>
    <w:p>
      <w:pPr>
        <w:pStyle w:val="Compact"/>
        <w:numPr>
          <w:ilvl w:val="0"/>
          <w:numId w:val="1001"/>
        </w:numPr>
      </w:pPr>
      <w:r>
        <w:t xml:space="preserve">cambios de cronograma o condiciones de participacion;</w:t>
      </w:r>
    </w:p>
    <w:p>
      <w:pPr>
        <w:pStyle w:val="Compact"/>
        <w:numPr>
          <w:ilvl w:val="0"/>
          <w:numId w:val="1001"/>
        </w:numPr>
      </w:pPr>
      <w:r>
        <w:t xml:space="preserve">solicitud, recepcion y aclaracion de datos;</w:t>
      </w:r>
    </w:p>
    <w:p>
      <w:pPr>
        <w:pStyle w:val="Compact"/>
        <w:numPr>
          <w:ilvl w:val="0"/>
          <w:numId w:val="1001"/>
        </w:numPr>
      </w:pPr>
      <w:r>
        <w:t xml:space="preserve">envio o publicacion de resultados;</w:t>
      </w:r>
    </w:p>
    <w:p>
      <w:pPr>
        <w:pStyle w:val="Compact"/>
        <w:numPr>
          <w:ilvl w:val="0"/>
          <w:numId w:val="1001"/>
        </w:numPr>
      </w:pPr>
      <w:r>
        <w:t xml:space="preserve">comunicaciones internas de coordinacion tecnica;</w:t>
      </w:r>
    </w:p>
    <w:p>
      <w:pPr>
        <w:pStyle w:val="Compact"/>
        <w:numPr>
          <w:ilvl w:val="0"/>
          <w:numId w:val="1001"/>
        </w:numPr>
      </w:pPr>
      <w:r>
        <w:t xml:space="preserve">consultas, quejas, no conformidades y apelaciones;</w:t>
      </w:r>
    </w:p>
    <w:p>
      <w:pPr>
        <w:pStyle w:val="Compact"/>
        <w:numPr>
          <w:ilvl w:val="0"/>
          <w:numId w:val="1001"/>
        </w:numPr>
      </w:pPr>
      <w:r>
        <w:t xml:space="preserve">comunicaciones con proveedores criticos cuando afecten el ensayo.</w:t>
      </w:r>
    </w:p>
    <w:p>
      <w:pPr>
        <w:pStyle w:val="FirstParagraph"/>
      </w:pPr>
      <w:r>
        <w:t xml:space="preserve">No reemplaza los procedimientos de quejas, apelaciones, trabajo no conforme, confidencialidad ni emision de informe; los activa o referencia cuando la comunicacion derive en esos procesos.</w:t>
      </w:r>
    </w:p>
    <w:p>
      <w:r>
        <w:pict>
          <v:rect style="width:0;height:1.5pt" o:hralign="center" o:hrstd="t" o:hr="t"/>
        </w:pict>
      </w:r>
    </w:p>
    <w:bookmarkEnd w:id="20"/>
    <w:bookmarkStart w:id="21" w:name="canales-autorizados"/>
    <w:p>
      <w:pPr>
        <w:pStyle w:val="Heading2"/>
      </w:pPr>
      <w:r>
        <w:t xml:space="preserve">Canales autorizados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Uso permitido</w:t>
            </w:r>
          </w:p>
        </w:tc>
        <w:tc>
          <w:tcPr/>
          <w:p>
            <w:pPr>
              <w:pStyle w:val="Compact"/>
            </w:pPr>
            <w:r>
              <w:t xml:space="preserve">Control minimo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institucional</w:t>
            </w:r>
          </w:p>
        </w:tc>
        <w:tc>
          <w:tcPr/>
          <w:p>
            <w:pPr>
              <w:pStyle w:val="Compact"/>
            </w:pPr>
            <w:r>
              <w:t xml:space="preserve">Comunicaciones formales con participantes, proveedores y partes interesadas</w:t>
            </w:r>
          </w:p>
        </w:tc>
        <w:tc>
          <w:tcPr/>
          <w:p>
            <w:pPr>
              <w:pStyle w:val="Compact"/>
            </w:pPr>
            <w:r>
              <w:t xml:space="preserve">conservar asunto, fecha, remitente, destinatario, adjuntos y respuesta si aplica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Comunicaciones, notificaciones o registros asociados a gestion de ronda y participantes</w:t>
            </w:r>
          </w:p>
        </w:tc>
        <w:tc>
          <w:tcPr/>
          <w:p>
            <w:pPr>
              <w:pStyle w:val="Compact"/>
            </w:pPr>
            <w:r>
              <w:t xml:space="preserve">conservar trazabilidad digital, usuario, fecha, ronda y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Reunion documentada</w:t>
            </w:r>
          </w:p>
        </w:tc>
        <w:tc>
          <w:tcPr/>
          <w:p>
            <w:pPr>
              <w:pStyle w:val="Compact"/>
            </w:pPr>
            <w:r>
              <w:t xml:space="preserve">Aclaraciones tecnicas, decisiones de coordinacion o seguimiento</w:t>
            </w:r>
          </w:p>
        </w:tc>
        <w:tc>
          <w:tcPr/>
          <w:p>
            <w:pPr>
              <w:pStyle w:val="Compact"/>
            </w:pPr>
            <w:r>
              <w:t xml:space="preserve">conservar acta, asistentes, fecha, acuerdos y responsables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 formal del PEA</w:t>
            </w:r>
          </w:p>
        </w:tc>
        <w:tc>
          <w:tcPr/>
          <w:p>
            <w:pPr>
              <w:pStyle w:val="Compact"/>
            </w:pPr>
            <w:r>
              <w:t xml:space="preserve">Circulares, instrucciones, informes y comunicaciones controladas</w:t>
            </w:r>
          </w:p>
        </w:tc>
        <w:tc>
          <w:tcPr/>
          <w:p>
            <w:pPr>
              <w:pStyle w:val="Compact"/>
            </w:pPr>
            <w:r>
              <w:t xml:space="preserve">conservar version, codigo, fecha de emision y responsable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sponsables"/>
    <w:p>
      <w:pPr>
        <w:pStyle w:val="Heading2"/>
      </w:pPr>
      <w:r>
        <w:t xml:space="preserve">Responsables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Coordinador EA:</w:t>
      </w:r>
      <w:r>
        <w:t xml:space="preserve"> </w:t>
      </w:r>
      <w:r>
        <w:t xml:space="preserve">autoriza comunicaciones criticas de ronda y valida mensajes a participantes.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Responsable tecnico:</w:t>
      </w:r>
      <w:r>
        <w:t xml:space="preserve"> </w:t>
      </w:r>
      <w:r>
        <w:t xml:space="preserve">prepara contenido tecnico sobre item, niveles, datos, metodos o resultados.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Responsable de calidad:</w:t>
      </w:r>
      <w:r>
        <w:t xml:space="preserve"> </w:t>
      </w:r>
      <w:r>
        <w:t xml:space="preserve">revisa comunicaciones asociadas a SGC, quejas, apelaciones, no conformidades y confidencialidad.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Administrador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calaire-app</w:t>
      </w:r>
      <w:r>
        <w:rPr>
          <w:b/>
          <w:bCs/>
        </w:rPr>
        <w:t xml:space="preserve">:</w:t>
      </w:r>
      <w:r>
        <w:t xml:space="preserve"> </w:t>
      </w:r>
      <w:r>
        <w:t xml:space="preserve">asegura disponibilidad y trazabilidad de comunicaciones gestionadas por el aplicativo.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Responsable de emision:</w:t>
      </w:r>
      <w:r>
        <w:t xml:space="preserve"> </w:t>
      </w:r>
      <w:r>
        <w:t xml:space="preserve">envia o registra la comunicacion y archiva la evidencia.</w:t>
      </w:r>
    </w:p>
    <w:p>
      <w:r>
        <w:pict>
          <v:rect style="width:0;height:1.5pt" o:hralign="center" o:hrstd="t" o:hr="t"/>
        </w:pict>
      </w:r>
    </w:p>
    <w:bookmarkEnd w:id="22"/>
    <w:bookmarkStart w:id="23" w:name="reglas-minimas-de-registro"/>
    <w:p>
      <w:pPr>
        <w:pStyle w:val="Heading2"/>
      </w:pPr>
      <w:r>
        <w:t xml:space="preserve">Reglas minimas de registro</w:t>
      </w:r>
    </w:p>
    <w:p>
      <w:pPr>
        <w:pStyle w:val="FirstParagraph"/>
      </w:pPr>
      <w:r>
        <w:t xml:space="preserve">Toda comunicacion critica debe registrar:</w:t>
      </w:r>
    </w:p>
    <w:p>
      <w:pPr>
        <w:pStyle w:val="Compact"/>
        <w:numPr>
          <w:ilvl w:val="0"/>
          <w:numId w:val="1003"/>
        </w:numPr>
      </w:pPr>
      <w:r>
        <w:t xml:space="preserve">fecha y hora;</w:t>
      </w:r>
    </w:p>
    <w:p>
      <w:pPr>
        <w:pStyle w:val="Compact"/>
        <w:numPr>
          <w:ilvl w:val="0"/>
          <w:numId w:val="1003"/>
        </w:numPr>
      </w:pPr>
      <w:r>
        <w:t xml:space="preserve">ronda o codigo del ensayo;</w:t>
      </w:r>
    </w:p>
    <w:p>
      <w:pPr>
        <w:pStyle w:val="Compact"/>
        <w:numPr>
          <w:ilvl w:val="0"/>
          <w:numId w:val="1003"/>
        </w:numPr>
      </w:pPr>
      <w:r>
        <w:t xml:space="preserve">emisor;</w:t>
      </w:r>
    </w:p>
    <w:p>
      <w:pPr>
        <w:pStyle w:val="Compact"/>
        <w:numPr>
          <w:ilvl w:val="0"/>
          <w:numId w:val="1003"/>
        </w:numPr>
      </w:pPr>
      <w:r>
        <w:t xml:space="preserve">destinatario;</w:t>
      </w:r>
    </w:p>
    <w:p>
      <w:pPr>
        <w:pStyle w:val="Compact"/>
        <w:numPr>
          <w:ilvl w:val="0"/>
          <w:numId w:val="1003"/>
        </w:numPr>
      </w:pPr>
      <w:r>
        <w:t xml:space="preserve">canal usado;</w:t>
      </w:r>
    </w:p>
    <w:p>
      <w:pPr>
        <w:pStyle w:val="Compact"/>
        <w:numPr>
          <w:ilvl w:val="0"/>
          <w:numId w:val="1003"/>
        </w:numPr>
      </w:pPr>
      <w:r>
        <w:t xml:space="preserve">asunto;</w:t>
      </w:r>
    </w:p>
    <w:p>
      <w:pPr>
        <w:pStyle w:val="Compact"/>
        <w:numPr>
          <w:ilvl w:val="0"/>
          <w:numId w:val="1003"/>
        </w:numPr>
      </w:pPr>
      <w:r>
        <w:t xml:space="preserve">resumen tecnico de la comunicacion;</w:t>
      </w:r>
    </w:p>
    <w:p>
      <w:pPr>
        <w:pStyle w:val="Compact"/>
        <w:numPr>
          <w:ilvl w:val="0"/>
          <w:numId w:val="1003"/>
        </w:numPr>
      </w:pPr>
      <w:r>
        <w:t xml:space="preserve">documentos o registros relacionados;</w:t>
      </w:r>
    </w:p>
    <w:p>
      <w:pPr>
        <w:pStyle w:val="Compact"/>
        <w:numPr>
          <w:ilvl w:val="0"/>
          <w:numId w:val="1003"/>
        </w:numPr>
      </w:pPr>
      <w:r>
        <w:t xml:space="preserve">accion requerida o decision derivada;</w:t>
      </w:r>
    </w:p>
    <w:p>
      <w:pPr>
        <w:pStyle w:val="Compact"/>
        <w:numPr>
          <w:ilvl w:val="0"/>
          <w:numId w:val="1003"/>
        </w:numPr>
      </w:pPr>
      <w:r>
        <w:t xml:space="preserve">responsable de seguimiento;</w:t>
      </w:r>
    </w:p>
    <w:p>
      <w:pPr>
        <w:pStyle w:val="Compact"/>
        <w:numPr>
          <w:ilvl w:val="0"/>
          <w:numId w:val="1003"/>
        </w:numPr>
      </w:pPr>
      <w:r>
        <w:t xml:space="preserve">estado:</w:t>
      </w:r>
      <w:r>
        <w:t xml:space="preserve"> </w:t>
      </w:r>
      <w:r>
        <w:rPr>
          <w:rStyle w:val="VerbatimChar"/>
        </w:rPr>
        <w:t xml:space="preserve">emitida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recibida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respondida</w:t>
      </w:r>
      <w:r>
        <w:t xml:space="preserve">,</w:t>
      </w:r>
      <w:r>
        <w:t xml:space="preserve"> </w:t>
      </w:r>
      <w:r>
        <w:rPr>
          <w:rStyle w:val="VerbatimChar"/>
        </w:rPr>
        <w:t xml:space="preserve">cerrada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escalada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evidencia: correo, acta, captura, registro de aplicativo o documento controlado.</w:t>
      </w:r>
    </w:p>
    <w:p>
      <w:r>
        <w:pict>
          <v:rect style="width:0;height:1.5pt" o:hralign="center" o:hrstd="t" o:hr="t"/>
        </w:pict>
      </w:r>
    </w:p>
    <w:bookmarkEnd w:id="23"/>
    <w:bookmarkStart w:id="24" w:name="trazabilidad-documental"/>
    <w:p>
      <w:pPr>
        <w:pStyle w:val="Heading2"/>
      </w:pPr>
      <w:r>
        <w:t xml:space="preserve">Trazabilidad documental</w:t>
      </w:r>
    </w:p>
    <w:p>
      <w:pPr>
        <w:pStyle w:val="FirstParagraph"/>
      </w:pPr>
      <w:r>
        <w:t xml:space="preserve">El procedimiento debe enlazar las comunicaciones con los siguientes documentos cuando aplique: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F-PSEA-03</w:t>
      </w:r>
      <w:r>
        <w:t xml:space="preserve"> </w:t>
      </w:r>
      <w:r>
        <w:t xml:space="preserve">Registro de participacion y carga de datos del participante;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F-PSEA-05</w:t>
      </w:r>
      <w:r>
        <w:t xml:space="preserve"> </w:t>
      </w:r>
      <w:r>
        <w:t xml:space="preserve">Ficha basica de ronda EA;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F-PSEA-06</w:t>
      </w:r>
      <w:r>
        <w:t xml:space="preserve"> </w:t>
      </w:r>
      <w:r>
        <w:t xml:space="preserve">Planificacion de ronda EA;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F-PSEA-08</w:t>
      </w:r>
      <w:r>
        <w:t xml:space="preserve"> </w:t>
      </w:r>
      <w:r>
        <w:t xml:space="preserve">Datos reportados por participante;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F-PSEA-09</w:t>
      </w:r>
      <w:r>
        <w:t xml:space="preserve"> </w:t>
      </w:r>
      <w:r>
        <w:t xml:space="preserve">Datos exportados para analisis PT;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F-PSEA-13</w:t>
      </w:r>
      <w:r>
        <w:t xml:space="preserve"> </w:t>
      </w:r>
      <w:r>
        <w:t xml:space="preserve">Informe final de resultados;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F-PSEA-14</w:t>
      </w:r>
      <w:r>
        <w:t xml:space="preserve"> </w:t>
      </w:r>
      <w:r>
        <w:t xml:space="preserve">Registro de caso de queja o no conformidad;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F-PSEA-15</w:t>
      </w:r>
      <w:r>
        <w:t xml:space="preserve"> </w:t>
      </w:r>
      <w:r>
        <w:t xml:space="preserve">Registro de apelaciones;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P-PSEA-16</w:t>
      </w:r>
      <w:r>
        <w:t xml:space="preserve"> </w:t>
      </w:r>
      <w:r>
        <w:t xml:space="preserve">Divulgacion y control de valores sensibles;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P-PSEA-19</w:t>
      </w:r>
      <w:r>
        <w:t xml:space="preserve"> </w:t>
      </w:r>
      <w:r>
        <w:t xml:space="preserve">Confidencialidad operativa interna del PEA.</w:t>
      </w:r>
    </w:p>
    <w:p>
      <w:r>
        <w:pict>
          <v:rect style="width:0;height:1.5pt" o:hralign="center" o:hrstd="t" o:hr="t"/>
        </w:pict>
      </w:r>
    </w:p>
    <w:bookmarkEnd w:id="24"/>
    <w:bookmarkStart w:id="25" w:name="control-de-confidencialidad"/>
    <w:p>
      <w:pPr>
        <w:pStyle w:val="Heading2"/>
      </w:pPr>
      <w:r>
        <w:t xml:space="preserve">Control de confidencialidad</w:t>
      </w:r>
    </w:p>
    <w:p>
      <w:pPr>
        <w:pStyle w:val="FirstParagraph"/>
      </w:pPr>
      <w:r>
        <w:t xml:space="preserve">El procedimiento debe prohibir la divulgacion no autorizada de:</w:t>
      </w:r>
    </w:p>
    <w:p>
      <w:pPr>
        <w:pStyle w:val="Compact"/>
        <w:numPr>
          <w:ilvl w:val="0"/>
          <w:numId w:val="1005"/>
        </w:numPr>
      </w:pPr>
      <w:r>
        <w:t xml:space="preserve">identidad de participantes;</w:t>
      </w:r>
    </w:p>
    <w:p>
      <w:pPr>
        <w:pStyle w:val="Compact"/>
        <w:numPr>
          <w:ilvl w:val="0"/>
          <w:numId w:val="1005"/>
        </w:numPr>
      </w:pPr>
      <w:r>
        <w:t xml:space="preserve">codigos de laboratorio asociados a nombres reales;</w:t>
      </w:r>
    </w:p>
    <w:p>
      <w:pPr>
        <w:pStyle w:val="Compact"/>
        <w:numPr>
          <w:ilvl w:val="0"/>
          <w:numId w:val="1005"/>
        </w:numPr>
      </w:pPr>
      <w:r>
        <w:t xml:space="preserve">valores asignados antes de liberacion formal;</w:t>
      </w:r>
    </w:p>
    <w:p>
      <w:pPr>
        <w:pStyle w:val="Compact"/>
        <w:numPr>
          <w:ilvl w:val="0"/>
          <w:numId w:val="1005"/>
        </w:numPr>
      </w:pPr>
      <w:r>
        <w:t xml:space="preserve">valores sensibles de referencia o consenso;</w:t>
      </w:r>
    </w:p>
    <w:p>
      <w:pPr>
        <w:pStyle w:val="Compact"/>
        <w:numPr>
          <w:ilvl w:val="0"/>
          <w:numId w:val="1005"/>
        </w:numPr>
      </w:pPr>
      <w:r>
        <w:t xml:space="preserve">resultados individuales;</w:t>
      </w:r>
    </w:p>
    <w:p>
      <w:pPr>
        <w:pStyle w:val="Compact"/>
        <w:numPr>
          <w:ilvl w:val="0"/>
          <w:numId w:val="1005"/>
        </w:numPr>
      </w:pPr>
      <w:r>
        <w:t xml:space="preserve">informacion tecnica restringida de equipos o metodos;</w:t>
      </w:r>
    </w:p>
    <w:p>
      <w:pPr>
        <w:pStyle w:val="Compact"/>
        <w:numPr>
          <w:ilvl w:val="0"/>
          <w:numId w:val="1005"/>
        </w:numPr>
      </w:pPr>
      <w:r>
        <w:t xml:space="preserve">datos no validados o versiones preliminares de informes.</w:t>
      </w:r>
    </w:p>
    <w:p>
      <w:pPr>
        <w:pStyle w:val="FirstParagraph"/>
      </w:pPr>
      <w:r>
        <w:t xml:space="preserve">Cuando una comunicacion incluya informacion sensible, debe identificarse el destinatario autorizado, el motivo de envio y la evidencia de control.</w:t>
      </w:r>
    </w:p>
    <w:p>
      <w:r>
        <w:pict>
          <v:rect style="width:0;height:1.5pt" o:hralign="center" o:hrstd="t" o:hr="t"/>
        </w:pict>
      </w:r>
    </w:p>
    <w:bookmarkEnd w:id="25"/>
    <w:bookmarkStart w:id="26" w:name="salidas-del-procedimiento"/>
    <w:p>
      <w:pPr>
        <w:pStyle w:val="Heading2"/>
      </w:pPr>
      <w:r>
        <w:t xml:space="preserve">Salidas del procedimiento</w:t>
      </w:r>
    </w:p>
    <w:p>
      <w:pPr>
        <w:pStyle w:val="FirstParagraph"/>
      </w:pPr>
      <w:r>
        <w:t xml:space="preserve">Las salidas esperadas son:</w:t>
      </w:r>
    </w:p>
    <w:p>
      <w:pPr>
        <w:pStyle w:val="Compact"/>
        <w:numPr>
          <w:ilvl w:val="0"/>
          <w:numId w:val="1006"/>
        </w:numPr>
      </w:pPr>
      <w:r>
        <w:t xml:space="preserve">comunicacion emitida o recibida;</w:t>
      </w:r>
    </w:p>
    <w:p>
      <w:pPr>
        <w:pStyle w:val="Compact"/>
        <w:numPr>
          <w:ilvl w:val="0"/>
          <w:numId w:val="1006"/>
        </w:numPr>
      </w:pPr>
      <w:r>
        <w:t xml:space="preserve">evidencia archivada;</w:t>
      </w:r>
    </w:p>
    <w:p>
      <w:pPr>
        <w:pStyle w:val="Compact"/>
        <w:numPr>
          <w:ilvl w:val="0"/>
          <w:numId w:val="1006"/>
        </w:numPr>
      </w:pPr>
      <w:r>
        <w:t xml:space="preserve">acuse o confirmacion cuando aplique;</w:t>
      </w:r>
    </w:p>
    <w:p>
      <w:pPr>
        <w:pStyle w:val="Compact"/>
        <w:numPr>
          <w:ilvl w:val="0"/>
          <w:numId w:val="1006"/>
        </w:numPr>
      </w:pPr>
      <w:r>
        <w:t xml:space="preserve">decision o accion derivada;</w:t>
      </w:r>
    </w:p>
    <w:p>
      <w:pPr>
        <w:pStyle w:val="Compact"/>
        <w:numPr>
          <w:ilvl w:val="0"/>
          <w:numId w:val="1006"/>
        </w:numPr>
      </w:pPr>
      <w:r>
        <w:t xml:space="preserve">caso SGC abierto si corresponde;</w:t>
      </w:r>
    </w:p>
    <w:p>
      <w:pPr>
        <w:pStyle w:val="Compact"/>
        <w:numPr>
          <w:ilvl w:val="0"/>
          <w:numId w:val="1006"/>
        </w:numPr>
      </w:pPr>
      <w:r>
        <w:t xml:space="preserve">cierre documentado de la comunicacion.</w:t>
      </w:r>
    </w:p>
    <w:p>
      <w:r>
        <w:pict>
          <v:rect style="width:0;height:1.5pt" o:hralign="center" o:hrstd="t" o:hr="t"/>
        </w:pict>
      </w:r>
    </w:p>
    <w:bookmarkEnd w:id="26"/>
    <w:bookmarkStart w:id="27" w:name="criterio-de-cierre"/>
    <w:p>
      <w:pPr>
        <w:pStyle w:val="Heading2"/>
      </w:pPr>
      <w:r>
        <w:t xml:space="preserve">Criterio de cierre</w:t>
      </w:r>
    </w:p>
    <w:p>
      <w:pPr>
        <w:pStyle w:val="FirstParagraph"/>
      </w:pPr>
      <w:r>
        <w:t xml:space="preserve">Una comunicacion se considera cerrada cuando:</w:t>
      </w:r>
    </w:p>
    <w:p>
      <w:pPr>
        <w:pStyle w:val="Compact"/>
        <w:numPr>
          <w:ilvl w:val="0"/>
          <w:numId w:val="1007"/>
        </w:numPr>
      </w:pPr>
      <w:r>
        <w:t xml:space="preserve">fue enviada o recibida por un canal autorizado;</w:t>
      </w:r>
    </w:p>
    <w:p>
      <w:pPr>
        <w:pStyle w:val="Compact"/>
        <w:numPr>
          <w:ilvl w:val="0"/>
          <w:numId w:val="1007"/>
        </w:numPr>
      </w:pPr>
      <w:r>
        <w:t xml:space="preserve">la evidencia quedo archivada;</w:t>
      </w:r>
    </w:p>
    <w:p>
      <w:pPr>
        <w:pStyle w:val="Compact"/>
        <w:numPr>
          <w:ilvl w:val="0"/>
          <w:numId w:val="1007"/>
        </w:numPr>
      </w:pPr>
      <w:r>
        <w:t xml:space="preserve">el destinatario fue confirmado cuando aplica;</w:t>
      </w:r>
    </w:p>
    <w:p>
      <w:pPr>
        <w:pStyle w:val="Compact"/>
        <w:numPr>
          <w:ilvl w:val="0"/>
          <w:numId w:val="1007"/>
        </w:numPr>
      </w:pPr>
      <w:r>
        <w:t xml:space="preserve">la accion derivada fue cerrada o transferida al procedimiento correspondiente;</w:t>
      </w:r>
    </w:p>
    <w:p>
      <w:pPr>
        <w:pStyle w:val="Compact"/>
        <w:numPr>
          <w:ilvl w:val="0"/>
          <w:numId w:val="1007"/>
        </w:numPr>
      </w:pPr>
      <w:r>
        <w:t xml:space="preserve">no quedan respuestas pendientes que afecten la ronda o el SGC.</w:t>
      </w:r>
    </w:p>
    <w:bookmarkEnd w:id="27"/>
    <w:bookmarkEnd w:id="28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2026-06-29T13:51:17Z</dcterms:created>
  <dcterms:modified xsi:type="dcterms:W3CDTF">2026-06-29T13:51:17Z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