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-psea-07-diseno-estadistico"/>
    <w:p>
      <w:pPr>
        <w:pStyle w:val="Heading1"/>
      </w:pPr>
      <w:r>
        <w:t xml:space="preserve">P-PSEA-07 Diseno estadistico</w:t>
      </w:r>
    </w:p>
    <w:bookmarkStart w:id="1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Establecer los criterios metrologicos y estadisticos para evaluar el desempeno de participantes en el PEA, incluyendo valor asignado,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, incertidumbre, tratamiento de datos, homogeneidad, estabilidad y reglas de decision.</w:t>
      </w:r>
    </w:p>
    <w:bookmarkEnd w:id="11"/>
    <w:bookmarkStart w:id="12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Aplica al analisis estadistico de rondas de ensayo de aptitud para gases contaminantes criterio. El procedimiento define el criterio tecnico; la ejecucion operativa en software se documenta en</w:t>
      </w:r>
      <w:r>
        <w:t xml:space="preserve"> </w:t>
      </w:r>
      <w:r>
        <w:rPr>
          <w:rStyle w:val="VerbatimChar"/>
        </w:rPr>
        <w:t xml:space="preserve">DG-PSEA-03</w:t>
      </w:r>
      <w:r>
        <w:t xml:space="preserve">,</w:t>
      </w:r>
      <w:r>
        <w:t xml:space="preserve"> </w:t>
      </w:r>
      <w:r>
        <w:rPr>
          <w:rStyle w:val="VerbatimChar"/>
        </w:rPr>
        <w:t xml:space="preserve">I-PSEA-04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I-PSEA-05</w:t>
      </w:r>
      <w:r>
        <w:t xml:space="preserve">.</w:t>
      </w:r>
    </w:p>
    <w:bookmarkEnd w:id="12"/>
    <w:bookmarkStart w:id="13" w:name="entradas"/>
    <w:p>
      <w:pPr>
        <w:pStyle w:val="Heading2"/>
      </w:pPr>
      <w:r>
        <w:t xml:space="preserve">Entradas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F-PSEA-12</w:t>
            </w:r>
          </w:p>
        </w:tc>
        <w:tc>
          <w:tcPr/>
          <w:p>
            <w:pPr>
              <w:pStyle w:val="Compact"/>
            </w:pPr>
            <w:r>
              <w:t xml:space="preserve">Dataset oficial consolidado para evaluacion de aptitud.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F-PSEA-11B</w:t>
            </w:r>
          </w:p>
        </w:tc>
        <w:tc>
          <w:tcPr/>
          <w:p>
            <w:pPr>
              <w:pStyle w:val="Compact"/>
            </w:pPr>
            <w:r>
              <w:t xml:space="preserve">Datos preprocesados de homogeneidad y estabilidad.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Particularidades por analito.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 e ISO 13528</w:t>
            </w:r>
          </w:p>
        </w:tc>
        <w:tc>
          <w:tcPr/>
          <w:p>
            <w:pPr>
              <w:pStyle w:val="Compact"/>
            </w:pPr>
            <w:r>
              <w:t xml:space="preserve">Referencias normativas y estadisticas.</w:t>
            </w:r>
          </w:p>
        </w:tc>
      </w:tr>
    </w:tbl>
    <w:bookmarkEnd w:id="13"/>
    <w:bookmarkStart w:id="14" w:name="actividades"/>
    <w:p>
      <w:pPr>
        <w:pStyle w:val="Heading2"/>
      </w:pPr>
      <w:r>
        <w:t xml:space="preserve">Actividades</w:t>
      </w:r>
    </w:p>
    <w:p>
      <w:pPr>
        <w:pStyle w:val="Compact"/>
        <w:numPr>
          <w:ilvl w:val="0"/>
          <w:numId w:val="1001"/>
        </w:numPr>
      </w:pPr>
      <w:r>
        <w:t xml:space="preserve">Definir o confirmar el valor asignado aplicable a cada analito y nivel.</w:t>
      </w:r>
    </w:p>
    <w:p>
      <w:pPr>
        <w:pStyle w:val="Compact"/>
        <w:numPr>
          <w:ilvl w:val="0"/>
          <w:numId w:val="1001"/>
        </w:numPr>
      </w:pPr>
      <w:r>
        <w:t xml:space="preserve">Definir o confirmar</w:t>
      </w:r>
      <w:r>
        <w:t xml:space="preserve"> </w:t>
      </w:r>
      <w:r>
        <w:rPr>
          <w:rStyle w:val="VerbatimChar"/>
        </w:rPr>
        <w:t xml:space="preserve">sigma_pt</w:t>
      </w:r>
      <w:r>
        <w:t xml:space="preserve"> </w:t>
      </w:r>
      <w:r>
        <w:t xml:space="preserve">y su justificacion tecnica.</w:t>
      </w:r>
    </w:p>
    <w:p>
      <w:pPr>
        <w:pStyle w:val="Compact"/>
        <w:numPr>
          <w:ilvl w:val="0"/>
          <w:numId w:val="1001"/>
        </w:numPr>
      </w:pPr>
      <w:r>
        <w:t xml:space="preserve">Evaluar incertidumbre y su efecto en la interpretacion del desempeno.</w:t>
      </w:r>
    </w:p>
    <w:p>
      <w:pPr>
        <w:pStyle w:val="Compact"/>
        <w:numPr>
          <w:ilvl w:val="0"/>
          <w:numId w:val="1001"/>
        </w:numPr>
      </w:pPr>
      <w:r>
        <w:t xml:space="preserve">Revisar datos atipicos, consistencia interna y criterios de inclusion/exclusion.</w:t>
      </w:r>
    </w:p>
    <w:p>
      <w:pPr>
        <w:pStyle w:val="Compact"/>
        <w:numPr>
          <w:ilvl w:val="0"/>
          <w:numId w:val="1001"/>
        </w:numPr>
      </w:pPr>
      <w:r>
        <w:t xml:space="preserve">Evaluar homogeneidad y estabilidad como insumo para la validez de la ronda.</w:t>
      </w:r>
    </w:p>
    <w:p>
      <w:pPr>
        <w:pStyle w:val="Compact"/>
        <w:numPr>
          <w:ilvl w:val="0"/>
          <w:numId w:val="1001"/>
        </w:numPr>
      </w:pPr>
      <w:r>
        <w:t xml:space="preserve">Calcular estadisticos y puntuaciones de desempeno segun el criterio aprobado.</w:t>
      </w:r>
    </w:p>
    <w:p>
      <w:pPr>
        <w:pStyle w:val="Compact"/>
        <w:numPr>
          <w:ilvl w:val="0"/>
          <w:numId w:val="1001"/>
        </w:numPr>
      </w:pPr>
      <w:r>
        <w:t xml:space="preserve">Documentar resultados, advertencias y restricciones para el informe final.</w:t>
      </w:r>
    </w:p>
    <w:bookmarkEnd w:id="14"/>
    <w:bookmarkStart w:id="15" w:name="salidas-y-registros"/>
    <w:p>
      <w:pPr>
        <w:pStyle w:val="Heading2"/>
      </w:pPr>
      <w:r>
        <w:t xml:space="preserve">Salidas y registros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F-PSEA-11C</w:t>
            </w:r>
          </w:p>
        </w:tc>
        <w:tc>
          <w:tcPr/>
          <w:p>
            <w:pPr>
              <w:pStyle w:val="Compact"/>
            </w:pPr>
            <w:r>
              <w:t xml:space="preserve">Resultados de homogeneidad.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F-PSEA-11D</w:t>
            </w:r>
          </w:p>
        </w:tc>
        <w:tc>
          <w:tcPr/>
          <w:p>
            <w:pPr>
              <w:pStyle w:val="Compact"/>
            </w:pPr>
            <w:r>
              <w:t xml:space="preserve">Resultados de estabilidad.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F-PSEA-13</w:t>
            </w:r>
          </w:p>
        </w:tc>
        <w:tc>
          <w:tcPr/>
          <w:p>
            <w:pPr>
              <w:pStyle w:val="Compact"/>
            </w:pPr>
            <w:r>
              <w:t xml:space="preserve">Informe final que incorpora los criterios estadisticos.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Registros de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</w:p>
        </w:tc>
        <w:tc>
          <w:tcPr/>
          <w:p>
            <w:pPr>
              <w:pStyle w:val="Compact"/>
            </w:pPr>
            <w:r>
              <w:t xml:space="preserve">Evidencia de procesamiento y resultados calculados.</w:t>
            </w:r>
          </w:p>
        </w:tc>
      </w:tr>
    </w:tbl>
    <w:bookmarkEnd w:id="15"/>
    <w:bookmarkStart w:id="16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02"/>
        </w:numPr>
      </w:pPr>
      <w:r>
        <w:t xml:space="preserve">Mantener trazabilidad entre dataset, criterios aplicados, version de calculo y resultados emitidos.</w:t>
      </w:r>
    </w:p>
    <w:p>
      <w:pPr>
        <w:pStyle w:val="Compact"/>
        <w:numPr>
          <w:ilvl w:val="0"/>
          <w:numId w:val="1002"/>
        </w:numPr>
      </w:pPr>
      <w:r>
        <w:t xml:space="preserve">No modificar criterios durante una ronda sin autorizacion tecnica documentada.</w:t>
      </w:r>
    </w:p>
    <w:p>
      <w:pPr>
        <w:pStyle w:val="Compact"/>
        <w:numPr>
          <w:ilvl w:val="0"/>
          <w:numId w:val="1002"/>
        </w:numPr>
      </w:pPr>
      <w:r>
        <w:t xml:space="preserve">Separar el criterio estadistico del instructivo de uso del aplicativo.</w:t>
      </w:r>
    </w:p>
    <w:p>
      <w:pPr>
        <w:pStyle w:val="Compact"/>
        <w:numPr>
          <w:ilvl w:val="0"/>
          <w:numId w:val="1002"/>
        </w:numPr>
      </w:pPr>
      <w:r>
        <w:t xml:space="preserve">Evidenciar el tratamiento de H/E antes de interpretar resultados de desempeno.</w:t>
      </w:r>
    </w:p>
    <w:bookmarkEnd w:id="16"/>
    <w:bookmarkStart w:id="17" w:name="documentos-relacionados"/>
    <w:p>
      <w:pPr>
        <w:pStyle w:val="Heading2"/>
      </w:pPr>
      <w:r>
        <w:t xml:space="preserve">Documentos relacionados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DG-PSEA-03</w:t>
            </w:r>
          </w:p>
        </w:tc>
        <w:tc>
          <w:tcPr/>
          <w:p>
            <w:pPr>
              <w:pStyle w:val="Compact"/>
            </w:pPr>
            <w:r>
              <w:t xml:space="preserve">Aplicativo que implementa los calculos.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I-PSEA-05</w:t>
            </w:r>
          </w:p>
        </w:tc>
        <w:tc>
          <w:tcPr/>
          <w:p>
            <w:pPr>
              <w:pStyle w:val="Compact"/>
            </w:pPr>
            <w:r>
              <w:t xml:space="preserve">Uso del modulo de analisis en</w:t>
            </w:r>
            <w:r>
              <w:t xml:space="preserve"> </w:t>
            </w:r>
            <w:r>
              <w:rPr>
                <w:rStyle w:val="VerbatimChar"/>
              </w:rPr>
              <w:t xml:space="preserve">pt_app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de datos digitales.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P-PSEA-09</w:t>
            </w:r>
          </w:p>
        </w:tc>
        <w:tc>
          <w:tcPr/>
          <w:p>
            <w:pPr>
              <w:pStyle w:val="Compact"/>
            </w:pPr>
            <w:r>
              <w:t xml:space="preserve">Generacion y emision del informe de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P-PSEA-10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P-PSEA-13</w:t>
            </w:r>
          </w:p>
        </w:tc>
        <w:tc>
          <w:tcPr/>
          <w:p>
            <w:pPr>
              <w:pStyle w:val="Compact"/>
            </w:pPr>
            <w:r>
              <w:t xml:space="preserve">Procedimientos por analito que citan este criterio.</w:t>
            </w:r>
          </w:p>
        </w:tc>
      </w:tr>
    </w:tbl>
    <w:bookmarkEnd w:id="17"/>
    <w:bookmarkStart w:id="18" w:name="limites"/>
    <w:p>
      <w:pPr>
        <w:pStyle w:val="Heading2"/>
      </w:pPr>
      <w:r>
        <w:t xml:space="preserve">Limites</w:t>
      </w:r>
    </w:p>
    <w:p>
      <w:pPr>
        <w:pStyle w:val="Compact"/>
        <w:numPr>
          <w:ilvl w:val="0"/>
          <w:numId w:val="1003"/>
        </w:numPr>
      </w:pPr>
      <w:r>
        <w:t xml:space="preserve">No es manual de usuario de</w:t>
      </w:r>
      <w:r>
        <w:t xml:space="preserve"> </w:t>
      </w:r>
      <w:r>
        <w:rPr>
          <w:rStyle w:val="VerbatimChar"/>
        </w:rPr>
        <w:t xml:space="preserve">pt_app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No define el contenido editorial completo del informe final.</w:t>
      </w:r>
    </w:p>
    <w:p>
      <w:pPr>
        <w:pStyle w:val="Compact"/>
        <w:numPr>
          <w:ilvl w:val="0"/>
          <w:numId w:val="1003"/>
        </w:numPr>
      </w:pPr>
      <w:r>
        <w:t xml:space="preserve">No sustituye el procedimiento de preparacion del item.</w:t>
      </w:r>
    </w:p>
    <w:p>
      <w:pPr>
        <w:pStyle w:val="Compact"/>
        <w:numPr>
          <w:ilvl w:val="0"/>
          <w:numId w:val="1003"/>
        </w:numPr>
      </w:pPr>
      <w:r>
        <w:t xml:space="preserve">No debe duplicarse dentro de los procedimientos por analito.</w:t>
      </w:r>
    </w:p>
    <w:bookmarkEnd w:id="18"/>
    <w:bookmarkEnd w:id="19"/>
    <w:sectPr>
      <w:headerReference r:id="rId2" w:type="default"/>
      <w:type w:val="nextPage"/>
      <w:pgSz w:h="12240" w:orient="landscape" w:w="15840"/>
      <w:pgMar w:bottom="720" w:footer="0" w:gutter="0" w:header="709" w:left="720" w:right="720" w:top="765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 Display">
    <w:charset w:val="00" w:characterSet="windows-1252"/>
    <w:family w:val="swiss"/>
    <w:pitch w:val="variable"/>
  </w:font>
  <w:font w:name="Calibri Light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Georgia">
    <w:charset w:val="00" w:characterSet="windows-1252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4630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524"/>
      <w:gridCol w:w="9072"/>
      <w:gridCol w:w="3034"/>
    </w:tblGrid>
    <w:tr>
      <w:trPr/>
      <w:tc>
        <w:tcPr>
          <w:tcW w:w="252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lang w:val="en-US" w:eastAsia="en-US"/>
            </w:rPr>
            <w:drawing>
              <wp:inline distT="0" distB="0" distL="0" distR="0">
                <wp:extent cx="1346200" cy="621665"/>
                <wp:effectExtent l="0" t="0" r="0" b="0"/>
                <wp:docPr id="1" name="Image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1" t="-24" r="-11" b="-2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46200" cy="62166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072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LABORATORIO DE CALIDAD DEL AIRE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Código: P-PSEA-07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bottom"/>
        </w:tcPr>
        <w:p>
          <w:pPr>
            <w:pStyle w:val="Header"/>
            <w:rPr>
              <w:rFonts w:ascii="Arial" w:hAnsi="Arial" w:cs="Arial"/>
              <w:b/>
              <w:sz w:val="20"/>
              <w:szCs w:val="16"/>
            </w:rPr>
          </w:pPr>
          <w:r>
            <w:rPr>
              <w:rFonts w:cs="Arial" w:ascii="Arial" w:hAnsi="Arial"/>
              <w:b/>
              <w:sz w:val="20"/>
              <w:szCs w:val="16"/>
            </w:rPr>
            <w:t>Versión: 01</w:t>
          </w:r>
        </w:p>
      </w:tc>
    </w:tr>
    <w:tr>
      <w:trPr/>
      <w:tc>
        <w:tcPr>
          <w:tcW w:w="252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</w:r>
        </w:p>
      </w:tc>
      <w:tc>
        <w:tcPr>
          <w:tcW w:w="9072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20"/>
            </w:rPr>
            <w:t>DISENO ESTADISTICO</w:t>
          </w:r>
        </w:p>
      </w:tc>
      <w:tc>
        <w:tcPr>
          <w:tcW w:w="303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cs="Arial" w:ascii="Arial" w:hAnsi="Arial"/>
              <w:b/>
              <w:sz w:val="20"/>
              <w:szCs w:val="16"/>
            </w:rPr>
            <w:t xml:space="preserve">Página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PAGE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  <w:r>
            <w:rPr>
              <w:rFonts w:cs="Arial" w:ascii="Arial" w:hAnsi="Arial"/>
              <w:b/>
              <w:sz w:val="20"/>
              <w:szCs w:val="16"/>
            </w:rPr>
            <w:t xml:space="preserve"> de </w:t>
          </w:r>
          <w:r>
            <w:rPr>
              <w:rFonts w:cs="Arial" w:ascii="Arial" w:hAnsi="Arial"/>
              <w:b/>
              <w:sz w:val="20"/>
              <w:szCs w:val="16"/>
            </w:rPr>
            <w:fldChar w:fldCharType="begin"/>
          </w:r>
          <w:r>
            <w:rPr>
              <w:rFonts w:cs="Arial" w:ascii="Arial" w:hAnsi="Arial"/>
              <w:b/>
              <w:sz w:val="20"/>
              <w:szCs w:val="16"/>
            </w:rPr>
            <w:instrText xml:space="preserve"> NUMPAGES \* ARABIC </w:instrText>
          </w:r>
          <w:r>
            <w:rPr>
              <w:rFonts w:cs="Arial" w:ascii="Arial" w:hAnsi="Arial"/>
              <w:b/>
              <w:sz w:val="20"/>
              <w:szCs w:val="16"/>
            </w:rPr>
            <w:fldChar w:fldCharType="separate"/>
          </w:r>
          <w:r>
            <w:rPr>
              <w:rFonts w:cs="Arial" w:ascii="Arial" w:hAnsi="Arial"/>
              <w:b/>
              <w:sz w:val="20"/>
              <w:szCs w:val="16"/>
            </w:rPr>
            <w:t>1</w:t>
          </w:r>
          <w:r>
            <w:rPr>
              <w:rFonts w:cs="Arial" w:ascii="Arial" w:hAnsi="Arial"/>
              <w:b/>
              <w:sz w:val="20"/>
              <w:szCs w:val="16"/>
            </w:rPr>
            <w:fldChar w:fldCharType="end"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pos="0" w:val="num"/>
        </w:tabs>
        <w:ind w:hanging="360" w:start="360"/>
      </w:pPr>
      <w:rPr>
        <w:b/>
        <w:i w:val="false"/>
      </w:rPr>
    </w:lvl>
    <w:lvl w:ilvl="1">
      <w:start w:val="1"/>
      <w:numFmt w:val="decimal"/>
      <w:lvlText w:val="%1.%2."/>
      <w:lvlJc w:val="start"/>
      <w:pPr>
        <w:tabs>
          <w:tab w:pos="0" w:val="num"/>
        </w:tabs>
        <w:ind w:hanging="432" w:start="792"/>
      </w:pPr>
      <w:rPr>
        <w:b/>
      </w:rPr>
    </w:lvl>
    <w:lvl w:ilvl="2">
      <w:start w:val="1"/>
      <w:numFmt w:val="decimal"/>
      <w:lvlText w:val="%1.%2.%3."/>
      <w:lvlJc w:val="start"/>
      <w:pPr>
        <w:tabs>
          <w:tab w:pos="0" w:val="num"/>
        </w:tabs>
        <w:ind w:hanging="504" w:start="1224"/>
      </w:pPr>
      <w:rPr>
        <w:b/>
      </w:rPr>
    </w:lvl>
    <w:lvl w:ilvl="3">
      <w:start w:val="1"/>
      <w:numFmt w:val="decimal"/>
      <w:lvlText w:val="%1.%2.%3.%4."/>
      <w:lvlJc w:val="start"/>
      <w:pPr>
        <w:tabs>
          <w:tab w:pos="0" w:val="num"/>
        </w:tabs>
        <w:ind w:hanging="648" w:start="1728"/>
      </w:pPr>
    </w:lvl>
    <w:lvl w:ilvl="4">
      <w:start w:val="1"/>
      <w:numFmt w:val="decimal"/>
      <w:lvlText w:val="%1.%2.%3.%4.%5."/>
      <w:lvlJc w:val="start"/>
      <w:pPr>
        <w:tabs>
          <w:tab w:pos="0" w:val="num"/>
        </w:tabs>
        <w:ind w:hanging="792" w:start="2232"/>
      </w:pPr>
    </w:lvl>
    <w:lvl w:ilvl="5">
      <w:start w:val="1"/>
      <w:numFmt w:val="decimal"/>
      <w:lvlText w:val="%1.%2.%3.%4.%5.%6."/>
      <w:lvlJc w:val="start"/>
      <w:pPr>
        <w:tabs>
          <w:tab w:pos="0" w:val="num"/>
        </w:tabs>
        <w:ind w:hanging="936" w:start="2736"/>
      </w:pPr>
    </w:lvl>
    <w:lvl w:ilvl="6">
      <w:start w:val="1"/>
      <w:numFmt w:val="decimal"/>
      <w:lvlText w:val="%1.%2.%3.%4.%5.%6.%7."/>
      <w:lvlJc w:val="start"/>
      <w:pPr>
        <w:tabs>
          <w:tab w:pos="0" w:val="num"/>
        </w:tabs>
        <w:ind w:hanging="1080" w:start="3240"/>
      </w:pPr>
    </w:lvl>
    <w:lvl w:ilvl="7">
      <w:start w:val="1"/>
      <w:numFmt w:val="decimal"/>
      <w:lvlText w:val="%1.%2.%3.%4.%5.%6.%7.%8."/>
      <w:lvlJc w:val="start"/>
      <w:pPr>
        <w:tabs>
          <w:tab w:pos="0" w:val="num"/>
        </w:tabs>
        <w:ind w:hanging="1224" w:start="3744"/>
      </w:pPr>
    </w:lvl>
    <w:lvl w:ilvl="8">
      <w:start w:val="1"/>
      <w:numFmt w:val="decimal"/>
      <w:lvlText w:val="%1.%2.%3.%4.%5.%6.%7.%8.%9."/>
      <w:lvlJc w:val="start"/>
      <w:pPr>
        <w:tabs>
          <w:tab w:pos="0" w:val="num"/>
        </w:tabs>
        <w:ind w:hanging="1440" w:start="43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BreakWrappedTables/>
    <w:compatSetting w:name="compatibilityMode" w:uri="http://schemas.microsoft.com/office/word" w:val="11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Liberation Serif" w:cs="Liberation Sans" w:eastAsia="Noto Serif CJK SC" w:hAnsi="Liberation Serif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Heading1" w:type="paragraph">
    <w:name w:val="heading 1"/>
    <w:basedOn w:val="Normal"/>
    <w:next w:val="Normal"/>
    <w:qFormat/>
    <w:pPr>
      <w:keepNext w:val="true"/>
      <w:numPr>
        <w:ilvl w:val="0"/>
        <w:numId w:val="1"/>
      </w:numPr>
      <w:spacing w:after="60" w:before="240"/>
      <w:outlineLvl w:val="0"/>
    </w:pPr>
    <w:rPr>
      <w:rFonts w:ascii="Arial" w:cs="Arial" w:hAnsi="Arial"/>
      <w:b/>
      <w:bCs/>
      <w:kern w:val="2"/>
      <w:sz w:val="32"/>
      <w:szCs w:val="32"/>
    </w:rPr>
  </w:style>
  <w:style w:styleId="Heading2" w:type="paragraph">
    <w:name w:val="heading 2"/>
    <w:basedOn w:val="Normal"/>
    <w:next w:val="Normal"/>
    <w:qFormat/>
    <w:pPr>
      <w:keepNext w:val="true"/>
      <w:numPr>
        <w:ilvl w:val="1"/>
        <w:numId w:val="1"/>
      </w:numPr>
      <w:spacing w:after="60" w:before="240"/>
      <w:outlineLvl w:val="1"/>
    </w:pPr>
    <w:rPr>
      <w:rFonts w:ascii="Aptos Display" w:cs="Times New Roman" w:eastAsia="Times New Roman" w:hAnsi="Aptos Display"/>
      <w:b/>
      <w:bCs/>
      <w:i/>
      <w:iCs/>
      <w:sz w:val="28"/>
      <w:szCs w:val="28"/>
    </w:rPr>
  </w:style>
  <w:style w:styleId="Heading3" w:type="paragraph">
    <w:name w:val="heading 3"/>
    <w:basedOn w:val="Normal"/>
    <w:next w:val="Normal"/>
    <w:qFormat/>
    <w:pPr>
      <w:keepNext w:val="true"/>
      <w:numPr>
        <w:ilvl w:val="2"/>
        <w:numId w:val="1"/>
      </w:numPr>
      <w:spacing w:after="60" w:before="240"/>
      <w:outlineLvl w:val="2"/>
    </w:pPr>
    <w:rPr>
      <w:rFonts w:ascii="Calibri Light" w:cs="Times New Roman" w:eastAsia="Times New Roman" w:hAnsi="Calibri Light"/>
      <w:b/>
      <w:bCs/>
      <w:sz w:val="26"/>
      <w:szCs w:val="26"/>
    </w:rPr>
  </w:style>
  <w:style w:styleId="WW8Num1z0" w:type="character">
    <w:name w:val="WW8Num1z0"/>
    <w:qFormat/>
    <w:rPr>
      <w:rFonts w:ascii="Symbol" w:cs="Symbol" w:hAnsi="Symbol"/>
    </w:rPr>
  </w:style>
  <w:style w:styleId="WW8Num1z2" w:type="character">
    <w:name w:val="WW8Num1z2"/>
    <w:qFormat/>
    <w:rPr>
      <w:rFonts w:ascii="Courier New" w:cs="Courier New" w:hAnsi="Courier New"/>
    </w:rPr>
  </w:style>
  <w:style w:styleId="WW8Num1z3" w:type="character">
    <w:name w:val="WW8Num1z3"/>
    <w:qFormat/>
    <w:rPr>
      <w:rFonts w:ascii="Wingdings" w:cs="Wingdings" w:hAnsi="Wingdings"/>
    </w:rPr>
  </w:style>
  <w:style w:styleId="WW8Num2z0" w:type="character">
    <w:name w:val="WW8Num2z0"/>
    <w:qFormat/>
    <w:rPr>
      <w:rFonts w:ascii="Symbol" w:cs="Symbol" w:hAnsi="Symbol"/>
    </w:rPr>
  </w:style>
  <w:style w:styleId="WW8Num2z1" w:type="character">
    <w:name w:val="WW8Num2z1"/>
    <w:qFormat/>
    <w:rPr>
      <w:rFonts w:ascii="Courier New" w:cs="Courier New" w:hAnsi="Courier New"/>
    </w:rPr>
  </w:style>
  <w:style w:styleId="WW8Num2z2" w:type="character">
    <w:name w:val="WW8Num2z2"/>
    <w:qFormat/>
    <w:rPr>
      <w:rFonts w:ascii="Wingdings" w:cs="Wingdings" w:hAnsi="Wingdings"/>
    </w:rPr>
  </w:style>
  <w:style w:styleId="WW8Num3z0" w:type="character">
    <w:name w:val="WW8Num3z0"/>
    <w:qFormat/>
    <w:rPr>
      <w:rFonts w:ascii="Symbol" w:cs="Symbol" w:hAnsi="Symbol"/>
    </w:rPr>
  </w:style>
  <w:style w:styleId="WW8Num3z1" w:type="character">
    <w:name w:val="WW8Num3z1"/>
    <w:qFormat/>
    <w:rPr>
      <w:rFonts w:ascii="Courier New" w:cs="Courier New" w:hAnsi="Courier New"/>
    </w:rPr>
  </w:style>
  <w:style w:styleId="WW8Num3z2" w:type="character">
    <w:name w:val="WW8Num3z2"/>
    <w:qFormat/>
    <w:rPr>
      <w:rFonts w:ascii="Wingdings" w:cs="Wingdings" w:hAnsi="Wingdings"/>
    </w:rPr>
  </w:style>
  <w:style w:styleId="WW8Num4z0" w:type="character">
    <w:name w:val="WW8Num4z0"/>
    <w:qFormat/>
    <w:rPr>
      <w:b/>
    </w:rPr>
  </w:style>
  <w:style w:styleId="WW8Num6z1" w:type="character">
    <w:name w:val="WW8Num6z1"/>
    <w:qFormat/>
    <w:rPr>
      <w:b w:val="false"/>
    </w:rPr>
  </w:style>
  <w:style w:styleId="WW8Num7z0" w:type="character">
    <w:name w:val="WW8Num7z0"/>
    <w:qFormat/>
    <w:rPr>
      <w:b/>
    </w:rPr>
  </w:style>
  <w:style w:styleId="WW8Num8z0" w:type="character">
    <w:name w:val="WW8Num8z0"/>
    <w:qFormat/>
    <w:rPr>
      <w:rFonts w:ascii="Symbol" w:cs="Symbol" w:hAnsi="Symbol"/>
    </w:rPr>
  </w:style>
  <w:style w:styleId="WW8Num8z1" w:type="character">
    <w:name w:val="WW8Num8z1"/>
    <w:qFormat/>
    <w:rPr>
      <w:rFonts w:ascii="Courier New" w:cs="Courier New" w:hAnsi="Courier New"/>
    </w:rPr>
  </w:style>
  <w:style w:styleId="WW8Num8z2" w:type="character">
    <w:name w:val="WW8Num8z2"/>
    <w:qFormat/>
    <w:rPr>
      <w:rFonts w:ascii="Wingdings" w:cs="Wingdings" w:hAnsi="Wingdings"/>
    </w:rPr>
  </w:style>
  <w:style w:styleId="WW8Num9z0" w:type="character">
    <w:name w:val="WW8Num9z0"/>
    <w:qFormat/>
    <w:rPr>
      <w:rFonts w:ascii="Symbol" w:cs="Symbol" w:hAnsi="Symbol"/>
    </w:rPr>
  </w:style>
  <w:style w:styleId="WW8Num9z1" w:type="character">
    <w:name w:val="WW8Num9z1"/>
    <w:qFormat/>
    <w:rPr>
      <w:rFonts w:ascii="Courier New" w:cs="Courier New" w:hAnsi="Courier New"/>
    </w:rPr>
  </w:style>
  <w:style w:styleId="WW8Num9z2" w:type="character">
    <w:name w:val="WW8Num9z2"/>
    <w:qFormat/>
    <w:rPr>
      <w:rFonts w:ascii="Wingdings" w:cs="Wingdings" w:hAnsi="Wingdings"/>
    </w:rPr>
  </w:style>
  <w:style w:styleId="WW8Num11z0" w:type="character">
    <w:name w:val="WW8Num11z0"/>
    <w:qFormat/>
    <w:rPr>
      <w:b/>
    </w:rPr>
  </w:style>
  <w:style w:styleId="WW8Num12z0" w:type="character">
    <w:name w:val="WW8Num12z0"/>
    <w:qFormat/>
    <w:rPr>
      <w:b w:val="false"/>
    </w:rPr>
  </w:style>
  <w:style w:styleId="WW8Num13z0" w:type="character">
    <w:name w:val="WW8Num13z0"/>
    <w:qFormat/>
    <w:rPr>
      <w:b/>
    </w:rPr>
  </w:style>
  <w:style w:styleId="WW8Num14z0" w:type="character">
    <w:name w:val="WW8Num14z0"/>
    <w:qFormat/>
    <w:rPr>
      <w:rFonts w:ascii="Symbol" w:cs="Symbol" w:hAnsi="Symbol"/>
    </w:rPr>
  </w:style>
  <w:style w:styleId="WW8Num14z1" w:type="character">
    <w:name w:val="WW8Num14z1"/>
    <w:qFormat/>
    <w:rPr>
      <w:rFonts w:ascii="Courier New" w:cs="Courier New" w:hAnsi="Courier New"/>
    </w:rPr>
  </w:style>
  <w:style w:styleId="WW8Num14z5" w:type="character">
    <w:name w:val="WW8Num14z5"/>
    <w:qFormat/>
    <w:rPr>
      <w:rFonts w:ascii="Wingdings" w:cs="Wingdings" w:hAnsi="Wingdings"/>
    </w:rPr>
  </w:style>
  <w:style w:styleId="WW8Num15z0" w:type="character">
    <w:name w:val="WW8Num15z0"/>
    <w:qFormat/>
    <w:rPr>
      <w:rFonts w:ascii="Symbol" w:cs="Symbol" w:hAnsi="Symbol"/>
    </w:rPr>
  </w:style>
  <w:style w:styleId="WW8Num15z1" w:type="character">
    <w:name w:val="WW8Num15z1"/>
    <w:qFormat/>
    <w:rPr>
      <w:rFonts w:ascii="Courier New" w:cs="Courier New" w:hAnsi="Courier New"/>
    </w:rPr>
  </w:style>
  <w:style w:styleId="WW8Num15z2" w:type="character">
    <w:name w:val="WW8Num15z2"/>
    <w:qFormat/>
    <w:rPr>
      <w:rFonts w:ascii="Wingdings" w:cs="Wingdings" w:hAnsi="Wingdings"/>
    </w:rPr>
  </w:style>
  <w:style w:styleId="WW8Num16z0" w:type="character">
    <w:name w:val="WW8Num16z0"/>
    <w:qFormat/>
    <w:rPr>
      <w:rFonts w:ascii="Symbol" w:cs="Symbol" w:hAnsi="Symbol"/>
    </w:rPr>
  </w:style>
  <w:style w:styleId="WW8Num16z1" w:type="character">
    <w:name w:val="WW8Num16z1"/>
    <w:qFormat/>
    <w:rPr>
      <w:rFonts w:ascii="Courier New" w:cs="Courier New" w:hAnsi="Courier New"/>
    </w:rPr>
  </w:style>
  <w:style w:styleId="WW8Num16z2" w:type="character">
    <w:name w:val="WW8Num16z2"/>
    <w:qFormat/>
    <w:rPr>
      <w:rFonts w:ascii="Wingdings" w:cs="Wingdings" w:hAnsi="Wingdings"/>
    </w:rPr>
  </w:style>
  <w:style w:styleId="WW8Num17z0" w:type="character">
    <w:name w:val="WW8Num17z0"/>
    <w:qFormat/>
    <w:rPr>
      <w:rFonts w:ascii="Symbol" w:cs="Symbol" w:hAnsi="Symbol"/>
    </w:rPr>
  </w:style>
  <w:style w:styleId="WW8Num17z1" w:type="character">
    <w:name w:val="WW8Num17z1"/>
    <w:qFormat/>
    <w:rPr>
      <w:rFonts w:ascii="Courier New" w:cs="Courier New" w:hAnsi="Courier New"/>
    </w:rPr>
  </w:style>
  <w:style w:styleId="WW8Num17z2" w:type="character">
    <w:name w:val="WW8Num17z2"/>
    <w:qFormat/>
    <w:rPr>
      <w:rFonts w:ascii="Wingdings" w:cs="Wingdings" w:hAnsi="Wingdings"/>
    </w:rPr>
  </w:style>
  <w:style w:styleId="WW8Num18z0" w:type="character">
    <w:name w:val="WW8Num18z0"/>
    <w:qFormat/>
    <w:rPr>
      <w:b/>
      <w:i w:val="false"/>
    </w:rPr>
  </w:style>
  <w:style w:styleId="WW8Num19z0" w:type="character">
    <w:name w:val="WW8Num19z0"/>
    <w:qFormat/>
    <w:rPr>
      <w:rFonts w:ascii="Symbol" w:cs="Symbol" w:hAnsi="Symbol"/>
    </w:rPr>
  </w:style>
  <w:style w:styleId="WW8Num19z1" w:type="character">
    <w:name w:val="WW8Num19z1"/>
    <w:qFormat/>
    <w:rPr>
      <w:rFonts w:ascii="Courier New" w:cs="Courier New" w:hAnsi="Courier New"/>
    </w:rPr>
  </w:style>
  <w:style w:styleId="WW8Num19z2" w:type="character">
    <w:name w:val="WW8Num19z2"/>
    <w:qFormat/>
    <w:rPr>
      <w:rFonts w:ascii="Wingdings" w:cs="Wingdings" w:hAnsi="Wingdings"/>
    </w:rPr>
  </w:style>
  <w:style w:styleId="WW8Num20z0" w:type="character">
    <w:name w:val="WW8Num20z0"/>
    <w:qFormat/>
    <w:rPr>
      <w:rFonts w:ascii="Symbol" w:cs="Symbol" w:hAnsi="Symbol"/>
      <w:b/>
    </w:rPr>
  </w:style>
  <w:style w:styleId="WW8Num20z1" w:type="character">
    <w:name w:val="WW8Num20z1"/>
    <w:qFormat/>
    <w:rPr>
      <w:rFonts w:ascii="Arial" w:cs="Arial" w:eastAsia="Times New Roman" w:hAnsi="Arial"/>
    </w:rPr>
  </w:style>
  <w:style w:styleId="WW8Num22z0" w:type="character">
    <w:name w:val="WW8Num22z0"/>
    <w:qFormat/>
    <w:rPr>
      <w:rFonts w:ascii="Symbol" w:cs="Symbol" w:hAnsi="Symbol"/>
      <w:color w:val="000000"/>
    </w:rPr>
  </w:style>
  <w:style w:styleId="WW8Num23z0" w:type="character">
    <w:name w:val="WW8Num23z0"/>
    <w:qFormat/>
    <w:rPr>
      <w:b/>
    </w:rPr>
  </w:style>
  <w:style w:styleId="WW8Num24z0" w:type="character">
    <w:name w:val="WW8Num24z0"/>
    <w:qFormat/>
    <w:rPr>
      <w:b w:val="false"/>
    </w:rPr>
  </w:style>
  <w:style w:styleId="WW8Num25z0" w:type="character">
    <w:name w:val="WW8Num25z0"/>
    <w:qFormat/>
    <w:rPr>
      <w:b/>
    </w:rPr>
  </w:style>
  <w:style w:styleId="WW8Num26z0" w:type="character">
    <w:name w:val="WW8Num26z0"/>
    <w:qFormat/>
    <w:rPr>
      <w:rFonts w:ascii="Symbol" w:cs="Symbol" w:hAnsi="Symbol"/>
    </w:rPr>
  </w:style>
  <w:style w:styleId="WW8Num26z1" w:type="character">
    <w:name w:val="WW8Num26z1"/>
    <w:qFormat/>
    <w:rPr>
      <w:rFonts w:ascii="Courier New" w:cs="Courier New" w:hAnsi="Courier New"/>
    </w:rPr>
  </w:style>
  <w:style w:styleId="WW8Num26z2" w:type="character">
    <w:name w:val="WW8Num26z2"/>
    <w:qFormat/>
    <w:rPr>
      <w:rFonts w:ascii="Wingdings" w:cs="Wingdings" w:hAnsi="Wingdings"/>
    </w:rPr>
  </w:style>
  <w:style w:styleId="WW8Num27z0" w:type="character">
    <w:name w:val="WW8Num27z0"/>
    <w:qFormat/>
    <w:rPr>
      <w:rFonts w:ascii="Symbol" w:cs="Symbol" w:hAnsi="Symbol"/>
      <w:color w:val="000000"/>
    </w:rPr>
  </w:style>
  <w:style w:styleId="WW8Num27z1" w:type="character">
    <w:name w:val="WW8Num27z1"/>
    <w:qFormat/>
    <w:rPr>
      <w:rFonts w:ascii="Courier New" w:cs="Courier New" w:hAnsi="Courier New"/>
    </w:rPr>
  </w:style>
  <w:style w:styleId="WW8Num27z2" w:type="character">
    <w:name w:val="WW8Num27z2"/>
    <w:qFormat/>
    <w:rPr>
      <w:rFonts w:ascii="Wingdings" w:cs="Wingdings" w:hAnsi="Wingdings"/>
    </w:rPr>
  </w:style>
  <w:style w:styleId="WW8Num27z3" w:type="character">
    <w:name w:val="WW8Num27z3"/>
    <w:qFormat/>
    <w:rPr>
      <w:rFonts w:ascii="Symbol" w:cs="Symbol" w:hAnsi="Symbol"/>
    </w:rPr>
  </w:style>
  <w:style w:styleId="WW8Num28z0" w:type="character">
    <w:name w:val="WW8Num28z0"/>
    <w:qFormat/>
    <w:rPr>
      <w:b/>
    </w:rPr>
  </w:style>
  <w:style w:styleId="WW8Num28z1" w:type="character">
    <w:name w:val="WW8Num28z1"/>
    <w:qFormat/>
    <w:rPr/>
  </w:style>
  <w:style w:styleId="WW8Num29z0" w:type="character">
    <w:name w:val="WW8Num29z0"/>
    <w:qFormat/>
    <w:rPr>
      <w:b/>
      <w:i w:val="false"/>
    </w:rPr>
  </w:style>
  <w:style w:styleId="WW8Num30z0" w:type="character">
    <w:name w:val="WW8Num30z0"/>
    <w:qFormat/>
    <w:rPr>
      <w:rFonts w:ascii="Symbol" w:cs="Symbol" w:hAnsi="Symbol"/>
    </w:rPr>
  </w:style>
  <w:style w:styleId="WW8Num30z1" w:type="character">
    <w:name w:val="WW8Num30z1"/>
    <w:qFormat/>
    <w:rPr>
      <w:rFonts w:ascii="Courier New" w:cs="Courier New" w:hAnsi="Courier New"/>
    </w:rPr>
  </w:style>
  <w:style w:styleId="WW8Num30z2" w:type="character">
    <w:name w:val="WW8Num30z2"/>
    <w:qFormat/>
    <w:rPr>
      <w:rFonts w:ascii="Wingdings" w:cs="Wingdings" w:hAnsi="Wingdings"/>
    </w:rPr>
  </w:style>
  <w:style w:styleId="WW8Num31z0" w:type="character">
    <w:name w:val="WW8Num31z0"/>
    <w:qFormat/>
    <w:rPr/>
  </w:style>
  <w:style w:styleId="WW8Num32z0" w:type="character">
    <w:name w:val="WW8Num32z0"/>
    <w:qFormat/>
    <w:rPr>
      <w:rFonts w:ascii="Symbol" w:cs="Symbol" w:hAnsi="Symbol"/>
    </w:rPr>
  </w:style>
  <w:style w:styleId="WW8Num32z1" w:type="character">
    <w:name w:val="WW8Num32z1"/>
    <w:qFormat/>
    <w:rPr>
      <w:rFonts w:ascii="Courier New" w:cs="Courier New" w:hAnsi="Courier New"/>
    </w:rPr>
  </w:style>
  <w:style w:styleId="WW8Num32z2" w:type="character">
    <w:name w:val="WW8Num32z2"/>
    <w:qFormat/>
    <w:rPr>
      <w:rFonts w:ascii="Wingdings" w:cs="Wingdings" w:hAnsi="Wingdings"/>
    </w:rPr>
  </w:style>
  <w:style w:styleId="WW8Num33z0" w:type="character">
    <w:name w:val="WW8Num33z0"/>
    <w:qFormat/>
    <w:rPr>
      <w:b/>
    </w:rPr>
  </w:style>
  <w:style w:styleId="WW8Num33z1" w:type="character">
    <w:name w:val="WW8Num33z1"/>
    <w:qFormat/>
    <w:rPr>
      <w:rFonts w:ascii="Arial" w:cs="Arial" w:eastAsia="Times New Roman" w:hAnsi="Arial"/>
    </w:rPr>
  </w:style>
  <w:style w:styleId="WW8Num34z0" w:type="character">
    <w:name w:val="WW8Num34z0"/>
    <w:qFormat/>
    <w:rPr>
      <w:b/>
    </w:rPr>
  </w:style>
  <w:style w:styleId="WW8Num34z1" w:type="character">
    <w:name w:val="WW8Num34z1"/>
    <w:qFormat/>
    <w:rPr>
      <w:rFonts w:ascii="Arial" w:cs="Arial" w:eastAsia="Times New Roman" w:hAnsi="Arial"/>
    </w:rPr>
  </w:style>
  <w:style w:styleId="WW8Num35z0" w:type="character">
    <w:name w:val="WW8Num35z0"/>
    <w:qFormat/>
    <w:rPr>
      <w:rFonts w:ascii="Symbol" w:cs="Symbol" w:hAnsi="Symbol"/>
    </w:rPr>
  </w:style>
  <w:style w:styleId="WW8Num35z1" w:type="character">
    <w:name w:val="WW8Num35z1"/>
    <w:qFormat/>
    <w:rPr>
      <w:rFonts w:ascii="Courier New" w:cs="Courier New" w:hAnsi="Courier New"/>
    </w:rPr>
  </w:style>
  <w:style w:styleId="WW8Num35z2" w:type="character">
    <w:name w:val="WW8Num35z2"/>
    <w:qFormat/>
    <w:rPr>
      <w:rFonts w:ascii="Wingdings" w:cs="Wingdings" w:hAnsi="Wingdings"/>
    </w:rPr>
  </w:style>
  <w:style w:styleId="WW8Num36z0" w:type="character">
    <w:name w:val="WW8Num36z0"/>
    <w:qFormat/>
    <w:rPr>
      <w:rFonts w:ascii="Symbol" w:cs="Symbol" w:hAnsi="Symbol"/>
    </w:rPr>
  </w:style>
  <w:style w:styleId="WW8Num36z1" w:type="character">
    <w:name w:val="WW8Num36z1"/>
    <w:qFormat/>
    <w:rPr>
      <w:rFonts w:ascii="Courier New" w:cs="Courier New" w:hAnsi="Courier New"/>
    </w:rPr>
  </w:style>
  <w:style w:styleId="WW8Num36z2" w:type="character">
    <w:name w:val="WW8Num36z2"/>
    <w:qFormat/>
    <w:rPr>
      <w:rFonts w:ascii="Wingdings" w:cs="Wingdings" w:hAnsi="Wingdings"/>
    </w:rPr>
  </w:style>
  <w:style w:styleId="WW8Num38z0" w:type="character">
    <w:name w:val="WW8Num38z0"/>
    <w:qFormat/>
    <w:rPr>
      <w:rFonts w:ascii="Symbol" w:cs="Symbol" w:hAnsi="Symbol"/>
    </w:rPr>
  </w:style>
  <w:style w:styleId="WW8Num38z1" w:type="character">
    <w:name w:val="WW8Num38z1"/>
    <w:qFormat/>
    <w:rPr>
      <w:rFonts w:ascii="Courier New" w:cs="Courier New" w:hAnsi="Courier New"/>
    </w:rPr>
  </w:style>
  <w:style w:styleId="WW8Num38z2" w:type="character">
    <w:name w:val="WW8Num38z2"/>
    <w:qFormat/>
    <w:rPr>
      <w:rFonts w:ascii="Wingdings" w:cs="Wingdings" w:hAnsi="Wingdings"/>
    </w:rPr>
  </w:style>
  <w:style w:styleId="WW8Num39z0" w:type="character">
    <w:name w:val="WW8Num39z0"/>
    <w:qFormat/>
    <w:rPr>
      <w:b/>
      <w:i w:val="false"/>
    </w:rPr>
  </w:style>
  <w:style w:styleId="WW8Num40z0" w:type="character">
    <w:name w:val="WW8Num40z0"/>
    <w:qFormat/>
    <w:rPr>
      <w:rFonts w:ascii="Symbol" w:cs="Symbol" w:hAnsi="Symbol"/>
    </w:rPr>
  </w:style>
  <w:style w:styleId="WW8Num40z1" w:type="character">
    <w:name w:val="WW8Num40z1"/>
    <w:qFormat/>
    <w:rPr>
      <w:rFonts w:ascii="Courier New" w:cs="Courier New" w:hAnsi="Courier New"/>
    </w:rPr>
  </w:style>
  <w:style w:styleId="WW8Num40z2" w:type="character">
    <w:name w:val="WW8Num40z2"/>
    <w:qFormat/>
    <w:rPr>
      <w:rFonts w:ascii="Wingdings" w:cs="Wingdings" w:hAnsi="Wingdings"/>
    </w:rPr>
  </w:style>
  <w:style w:styleId="WW8Num41z0" w:type="character">
    <w:name w:val="WW8Num41z0"/>
    <w:qFormat/>
    <w:rPr>
      <w:b/>
      <w:i w:val="false"/>
    </w:rPr>
  </w:style>
  <w:style w:styleId="WW8Num41z1" w:type="character">
    <w:name w:val="WW8Num41z1"/>
    <w:qFormat/>
    <w:rPr>
      <w:b/>
    </w:rPr>
  </w:style>
  <w:style w:styleId="WW8Num42z0" w:type="character">
    <w:name w:val="WW8Num42z0"/>
    <w:qFormat/>
    <w:rPr>
      <w:b/>
    </w:rPr>
  </w:style>
  <w:style w:styleId="WW8Num43z0" w:type="character">
    <w:name w:val="WW8Num43z0"/>
    <w:qFormat/>
    <w:rPr>
      <w:rFonts w:ascii="Symbol" w:cs="Symbol" w:hAnsi="Symbol"/>
    </w:rPr>
  </w:style>
  <w:style w:styleId="WW8Num43z1" w:type="character">
    <w:name w:val="WW8Num43z1"/>
    <w:qFormat/>
    <w:rPr>
      <w:rFonts w:ascii="Courier New" w:cs="Courier New" w:hAnsi="Courier New"/>
    </w:rPr>
  </w:style>
  <w:style w:styleId="WW8Num43z2" w:type="character">
    <w:name w:val="WW8Num43z2"/>
    <w:qFormat/>
    <w:rPr>
      <w:rFonts w:ascii="Wingdings" w:cs="Wingdings" w:hAnsi="Wingdings"/>
    </w:rPr>
  </w:style>
  <w:style w:styleId="WW8Num44z0" w:type="character">
    <w:name w:val="WW8Num44z0"/>
    <w:qFormat/>
    <w:rPr/>
  </w:style>
  <w:style w:styleId="WW8Num45z0" w:type="character">
    <w:name w:val="WW8Num45z0"/>
    <w:qFormat/>
    <w:rPr>
      <w:b/>
    </w:rPr>
  </w:style>
  <w:style w:styleId="WW8Num46z0" w:type="character">
    <w:name w:val="WW8Num46z0"/>
    <w:qFormat/>
    <w:rPr>
      <w:b w:val="false"/>
    </w:rPr>
  </w:style>
  <w:style w:styleId="Fuentedeprrafopredeter" w:type="character">
    <w:name w:val="Fuente de párrafo predeter."/>
    <w:qFormat/>
    <w:rPr/>
  </w:style>
  <w:style w:styleId="Refdecomentario" w:type="character">
    <w:name w:val="Ref. de comentario"/>
    <w:qFormat/>
    <w:rPr>
      <w:sz w:val="16"/>
      <w:szCs w:val="16"/>
    </w:rPr>
  </w:style>
  <w:style w:styleId="estilo101" w:type="character">
    <w:name w:val="estilo101"/>
    <w:qFormat/>
    <w:rPr>
      <w:rFonts w:ascii="Georgia" w:cs="Georgia" w:hAnsi="Georgia"/>
    </w:rPr>
  </w:style>
  <w:style w:styleId="TextoindependienteCar" w:type="character">
    <w:name w:val="Texto independiente Car"/>
    <w:qFormat/>
    <w:rPr>
      <w:sz w:val="24"/>
      <w:szCs w:val="24"/>
      <w:lang w:val="es-MX"/>
    </w:rPr>
  </w:style>
  <w:style w:styleId="eacep1" w:type="character">
    <w:name w:val="eacep1"/>
    <w:qFormat/>
    <w:rPr>
      <w:color w:val="000000"/>
    </w:rPr>
  </w:style>
  <w:style w:styleId="Sangra3detindependienteCar" w:type="character">
    <w:name w:val="Sangría 3 de t. independiente Car"/>
    <w:qFormat/>
    <w:rPr>
      <w:sz w:val="16"/>
      <w:szCs w:val="16"/>
    </w:rPr>
  </w:style>
  <w:style w:styleId="SangradetextonormalCar" w:type="character">
    <w:name w:val="Sangría de texto normal Car"/>
    <w:qFormat/>
    <w:rPr>
      <w:rFonts w:ascii="Arial" w:cs="Arial" w:hAnsi="Arial"/>
      <w:bCs/>
      <w:sz w:val="22"/>
      <w:szCs w:val="22"/>
      <w:lang w:val="es-ES"/>
    </w:rPr>
  </w:style>
  <w:style w:styleId="Hyperlink" w:type="character">
    <w:name w:val="Hyperlink"/>
    <w:rPr>
      <w:color w:val="0563C1"/>
      <w:u w:val="single"/>
    </w:rPr>
  </w:style>
  <w:style w:styleId="Mencinsinresolver" w:type="character">
    <w:name w:val="Mención sin resolver"/>
    <w:qFormat/>
    <w:rPr>
      <w:color w:val="605E5C"/>
      <w:shd w:fill="E1DFDD" w:val="clear"/>
    </w:rPr>
  </w:style>
  <w:style w:styleId="Emphasis" w:type="character">
    <w:name w:val="Emphasis"/>
    <w:qFormat/>
    <w:rPr>
      <w:i/>
      <w:iCs/>
    </w:rPr>
  </w:style>
  <w:style w:styleId="Ttulo2Car" w:type="character">
    <w:name w:val="Título 2 Car"/>
    <w:qFormat/>
    <w:rPr>
      <w:rFonts w:ascii="Aptos Display" w:cs="Times New Roman" w:eastAsia="Times New Roman" w:hAnsi="Aptos Display"/>
      <w:b/>
      <w:bCs/>
      <w:i/>
      <w:iCs/>
      <w:sz w:val="28"/>
      <w:szCs w:val="28"/>
      <w:lang w:val="es-ES"/>
    </w:rPr>
  </w:style>
  <w:style w:styleId="Ttulo3Car" w:type="character">
    <w:name w:val="Título 3 Car"/>
    <w:qFormat/>
    <w:rPr>
      <w:rFonts w:ascii="Calibri Light" w:cs="Times New Roman" w:eastAsia="Times New Roman" w:hAnsi="Calibri Light"/>
      <w:b/>
      <w:bCs/>
      <w:sz w:val="26"/>
      <w:szCs w:val="26"/>
      <w:lang w:val="es-E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iberation Sans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20" w:before="0"/>
    </w:pPr>
    <w:rPr>
      <w:lang w:val="es-MX"/>
    </w:rPr>
  </w:style>
  <w:style w:styleId="List" w:type="paragraph">
    <w:name w:val="List"/>
    <w:basedOn w:val="BodyText"/>
    <w:pPr/>
    <w:rPr>
      <w:rFonts w:cs="Liberation San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Liberation San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iberation Sans"/>
    </w:rPr>
  </w:style>
  <w:style w:styleId="HeaderandFooter" w:type="paragraph">
    <w:name w:val="Header and Footer"/>
    <w:basedOn w:val="Normal"/>
    <w:qFormat/>
    <w:pPr>
      <w:suppressLineNumbers/>
      <w:tabs>
        <w:tab w:pos="708" w:val="clear"/>
        <w:tab w:leader="none" w:pos="4819" w:val="center"/>
        <w:tab w:leader="none" w:pos="9638" w:val="right"/>
      </w:tabs>
    </w:pPr>
    <w:rPr/>
  </w:style>
  <w:style w:styleId="Header" w:type="paragraph">
    <w:name w:val="head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Footer" w:type="paragraph">
    <w:name w:val="footer"/>
    <w:basedOn w:val="Normal"/>
    <w:pPr>
      <w:tabs>
        <w:tab w:pos="708" w:val="clear"/>
        <w:tab w:leader="none" w:pos="4252" w:val="center"/>
        <w:tab w:leader="none" w:pos="8504" w:val="right"/>
      </w:tabs>
    </w:pPr>
    <w:rPr/>
  </w:style>
  <w:style w:styleId="Textodeglobo" w:type="paragraph">
    <w:name w:val="Texto de globo"/>
    <w:basedOn w:val="Normal"/>
    <w:qFormat/>
    <w:pPr/>
    <w:rPr>
      <w:rFonts w:ascii="Tahoma" w:cs="Tahoma" w:hAnsi="Tahoma"/>
      <w:sz w:val="16"/>
      <w:szCs w:val="16"/>
    </w:rPr>
  </w:style>
  <w:style w:styleId="Textocomentario" w:type="paragraph">
    <w:name w:val="Texto comentario"/>
    <w:basedOn w:val="Normal"/>
    <w:qFormat/>
    <w:pPr/>
    <w:rPr>
      <w:sz w:val="20"/>
      <w:szCs w:val="20"/>
    </w:rPr>
  </w:style>
  <w:style w:styleId="Asuntodelcomentario" w:type="paragraph">
    <w:name w:val="Asunto del comentario"/>
    <w:basedOn w:val="Textocomentario"/>
    <w:next w:val="Textocomentario"/>
    <w:qFormat/>
    <w:pPr/>
    <w:rPr>
      <w:b/>
      <w:bCs/>
    </w:rPr>
  </w:style>
  <w:style w:styleId="Sangra3detindependiente" w:type="paragraph">
    <w:name w:val="Sangría 3 de t. independiente"/>
    <w:basedOn w:val="Normal"/>
    <w:qFormat/>
    <w:pPr>
      <w:spacing w:after="120" w:before="0"/>
      <w:ind w:end="0" w:hanging="0" w:start="283"/>
    </w:pPr>
    <w:rPr>
      <w:sz w:val="16"/>
      <w:szCs w:val="16"/>
      <w:lang w:val="en-US"/>
    </w:rPr>
  </w:style>
  <w:style w:styleId="Default" w:type="paragraph">
    <w:name w:val="Default"/>
    <w:qFormat/>
    <w:pPr>
      <w:widowControl/>
      <w:autoSpaceDE w:val="false"/>
      <w:bidi w:val="0"/>
    </w:pPr>
    <w:rPr>
      <w:rFonts w:ascii="Arial" w:cs="Arial" w:eastAsia="Times New Roman" w:hAnsi="Arial"/>
      <w:color w:val="000000"/>
      <w:sz w:val="24"/>
      <w:szCs w:val="24"/>
      <w:lang w:bidi="ar-SA" w:eastAsia="zh-CN" w:val="es-ES"/>
    </w:rPr>
  </w:style>
  <w:style w:styleId="Cuadrculaclara-nfasis3" w:type="paragraph">
    <w:name w:val="Cuadrícula clara - Énfasis 3"/>
    <w:basedOn w:val="Normal"/>
    <w:qFormat/>
    <w:pPr>
      <w:ind w:end="0" w:hanging="0" w:start="708"/>
    </w:pPr>
    <w:rPr/>
  </w:style>
  <w:style w:styleId="BodyTextIndent" w:type="paragraph">
    <w:name w:val="Body Text Indent"/>
    <w:basedOn w:val="Normal"/>
    <w:pPr>
      <w:spacing w:after="120" w:before="120"/>
      <w:ind w:end="0" w:hanging="180" w:start="180"/>
      <w:jc w:val="both"/>
    </w:pPr>
    <w:rPr>
      <w:rFonts w:ascii="Arial" w:cs="Arial" w:hAnsi="Arial"/>
      <w:bCs/>
      <w:sz w:val="22"/>
      <w:szCs w:val="22"/>
    </w:rPr>
  </w:style>
  <w:style w:styleId="Prrafodelista" w:type="paragraph">
    <w:name w:val="Párrafo de lista"/>
    <w:basedOn w:val="Normal"/>
    <w:qFormat/>
    <w:pPr>
      <w:ind w:end="0" w:hanging="0" w:start="708"/>
    </w:pPr>
    <w:rPr/>
  </w:style>
  <w:style w:styleId="Revisin" w:type="paragraph">
    <w:name w:val="Revisión"/>
    <w:qFormat/>
    <w:pPr>
      <w:widowControl/>
      <w:bidi w:val="0"/>
    </w:pPr>
    <w:rPr>
      <w:rFonts w:ascii="Times New Roman" w:cs="Times New Roman" w:eastAsia="Times New Roman" w:hAnsi="Times New Roman"/>
      <w:color w:val="auto"/>
      <w:sz w:val="24"/>
      <w:szCs w:val="24"/>
      <w:lang w:bidi="ar-SA" w:eastAsia="zh-CN" w:val="es-ES"/>
    </w:rPr>
  </w:style>
  <w:style w:styleId="NormalWeb" w:type="paragraph">
    <w:name w:val="Normal (Web)"/>
    <w:basedOn w:val="Normal"/>
    <w:qFormat/>
    <w:pPr/>
    <w:rPr/>
  </w:style>
  <w:style w:styleId="TableContents" w:type="paragraph">
    <w:name w:val="Table Contents"/>
    <w:basedOn w:val="Normal"/>
    <w:qFormat/>
    <w:pPr>
      <w:widowControl w:val="false"/>
      <w:suppressLineNumbers/>
    </w:pPr>
    <w:rPr/>
  </w:style>
  <w:style w:styleId="TableHeading" w:type="paragraph">
    <w:name w:val="Table Heading"/>
    <w:basedOn w:val="TableContents"/>
    <w:qFormat/>
    <w:pPr>
      <w:suppressLineNumbers/>
      <w:jc w:val="center"/>
    </w:pPr>
    <w:rPr>
      <w:b/>
      <w:bCs/>
    </w:rPr>
  </w:style>
  <w:style w:styleId="FrameContents" w:type="paragraph">
    <w:name w:val="Frame Contents"/>
    <w:basedOn w:val="Normal"/>
    <w:qFormat/>
    <w:pPr/>
    <w:rPr/>
  </w:style>
  <w:style w:styleId="WW8Num1" w:type="numbering">
    <w:name w:val="WW8Num1"/>
    <w:qFormat/>
  </w:style>
  <w:style w:styleId="WW8Num2" w:type="numbering">
    <w:name w:val="WW8Num2"/>
    <w:qFormat/>
  </w:style>
  <w:style w:styleId="WW8Num3" w:type="numbering">
    <w:name w:val="WW8Num3"/>
    <w:qFormat/>
  </w:style>
  <w:style w:styleId="WW8Num4" w:type="numbering">
    <w:name w:val="WW8Num4"/>
    <w:qFormat/>
  </w:style>
  <w:style w:styleId="WW8Num5" w:type="numbering">
    <w:name w:val="WW8Num5"/>
    <w:qFormat/>
  </w:style>
  <w:style w:styleId="WW8Num6" w:type="numbering">
    <w:name w:val="WW8Num6"/>
    <w:qFormat/>
  </w:style>
  <w:style w:styleId="WW8Num7" w:type="numbering">
    <w:name w:val="WW8Num7"/>
    <w:qFormat/>
  </w:style>
  <w:style w:styleId="WW8Num8" w:type="numbering">
    <w:name w:val="WW8Num8"/>
    <w:qFormat/>
  </w:style>
  <w:style w:styleId="WW8Num9" w:type="numbering">
    <w:name w:val="WW8Num9"/>
    <w:qFormat/>
  </w:style>
  <w:style w:styleId="WW8Num10" w:type="numbering">
    <w:name w:val="WW8Num10"/>
    <w:qFormat/>
  </w:style>
  <w:style w:styleId="WW8Num11" w:type="numbering">
    <w:name w:val="WW8Num11"/>
    <w:qFormat/>
  </w:style>
  <w:style w:styleId="WW8Num12" w:type="numbering">
    <w:name w:val="WW8Num12"/>
    <w:qFormat/>
  </w:style>
  <w:style w:styleId="WW8Num13" w:type="numbering">
    <w:name w:val="WW8Num13"/>
    <w:qFormat/>
  </w:style>
  <w:style w:styleId="WW8Num14" w:type="numbering">
    <w:name w:val="WW8Num14"/>
    <w:qFormat/>
  </w:style>
  <w:style w:styleId="WW8Num15" w:type="numbering">
    <w:name w:val="WW8Num15"/>
    <w:qFormat/>
  </w:style>
  <w:style w:styleId="WW8Num16" w:type="numbering">
    <w:name w:val="WW8Num16"/>
    <w:qFormat/>
  </w:style>
  <w:style w:styleId="WW8Num17" w:type="numbering">
    <w:name w:val="WW8Num17"/>
    <w:qFormat/>
  </w:style>
  <w:style w:styleId="WW8Num18" w:type="numbering">
    <w:name w:val="WW8Num18"/>
    <w:qFormat/>
  </w:style>
  <w:style w:styleId="WW8Num19" w:type="numbering">
    <w:name w:val="WW8Num19"/>
    <w:qFormat/>
  </w:style>
  <w:style w:styleId="WW8Num20" w:type="numbering">
    <w:name w:val="WW8Num20"/>
    <w:qFormat/>
  </w:style>
  <w:style w:styleId="WW8Num21" w:type="numbering">
    <w:name w:val="WW8Num21"/>
    <w:qFormat/>
  </w:style>
  <w:style w:styleId="WW8Num22" w:type="numbering">
    <w:name w:val="WW8Num22"/>
    <w:qFormat/>
  </w:style>
  <w:style w:styleId="WW8Num23" w:type="numbering">
    <w:name w:val="WW8Num23"/>
    <w:qFormat/>
  </w:style>
  <w:style w:styleId="WW8Num24" w:type="numbering">
    <w:name w:val="WW8Num24"/>
    <w:qFormat/>
  </w:style>
  <w:style w:styleId="WW8Num25" w:type="numbering">
    <w:name w:val="WW8Num25"/>
    <w:qFormat/>
  </w:style>
  <w:style w:styleId="WW8Num26" w:type="numbering">
    <w:name w:val="WW8Num26"/>
    <w:qFormat/>
  </w:style>
  <w:style w:styleId="WW8Num27" w:type="numbering">
    <w:name w:val="WW8Num27"/>
    <w:qFormat/>
  </w:style>
  <w:style w:styleId="WW8Num28" w:type="numbering">
    <w:name w:val="WW8Num28"/>
    <w:qFormat/>
  </w:style>
  <w:style w:styleId="WW8Num29" w:type="numbering">
    <w:name w:val="WW8Num29"/>
    <w:qFormat/>
  </w:style>
  <w:style w:styleId="WW8Num30" w:type="numbering">
    <w:name w:val="WW8Num30"/>
    <w:qFormat/>
  </w:style>
  <w:style w:styleId="WW8Num31" w:type="numbering">
    <w:name w:val="WW8Num31"/>
    <w:qFormat/>
  </w:style>
  <w:style w:styleId="WW8Num32" w:type="numbering">
    <w:name w:val="WW8Num32"/>
    <w:qFormat/>
  </w:style>
  <w:style w:styleId="WW8Num33" w:type="numbering">
    <w:name w:val="WW8Num33"/>
    <w:qFormat/>
  </w:style>
  <w:style w:styleId="WW8Num34" w:type="numbering">
    <w:name w:val="WW8Num34"/>
    <w:qFormat/>
  </w:style>
  <w:style w:styleId="WW8Num35" w:type="numbering">
    <w:name w:val="WW8Num35"/>
    <w:qFormat/>
  </w:style>
  <w:style w:styleId="WW8Num36" w:type="numbering">
    <w:name w:val="WW8Num36"/>
    <w:qFormat/>
  </w:style>
  <w:style w:styleId="WW8Num37" w:type="numbering">
    <w:name w:val="WW8Num37"/>
    <w:qFormat/>
  </w:style>
  <w:style w:styleId="WW8Num38" w:type="numbering">
    <w:name w:val="WW8Num38"/>
    <w:qFormat/>
  </w:style>
  <w:style w:styleId="WW8Num39" w:type="numbering">
    <w:name w:val="WW8Num39"/>
    <w:qFormat/>
  </w:style>
  <w:style w:styleId="WW8Num40" w:type="numbering">
    <w:name w:val="WW8Num40"/>
    <w:qFormat/>
  </w:style>
  <w:style w:styleId="WW8Num41" w:type="numbering">
    <w:name w:val="WW8Num41"/>
    <w:qFormat/>
  </w:style>
  <w:style w:styleId="WW8Num42" w:type="numbering">
    <w:name w:val="WW8Num42"/>
    <w:qFormat/>
  </w:style>
  <w:style w:styleId="WW8Num43" w:type="numbering">
    <w:name w:val="WW8Num43"/>
    <w:qFormat/>
  </w:style>
  <w:style w:styleId="WW8Num44" w:type="numbering">
    <w:name w:val="WW8Num44"/>
    <w:qFormat/>
  </w:style>
  <w:style w:styleId="WW8Num45" w:type="numbering">
    <w:name w:val="WW8Num45"/>
    <w:qFormat/>
  </w:style>
  <w:style w:styleId="WW8Num46" w:type="numbering">
    <w:name w:val="WW8Num46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0" Target="numbering.xml" /><Relationship Type="http://schemas.openxmlformats.org/officeDocument/2006/relationships/styles" Id="rId9" Target="styles.xml" /><Relationship Type="http://schemas.openxmlformats.org/officeDocument/2006/relationships/settings" Id="rId8" Target="settings.xml" /><Relationship Type="http://schemas.openxmlformats.org/officeDocument/2006/relationships/webSettings" Id="rId7" Target="webSettings.xml" /><Relationship Type="http://schemas.openxmlformats.org/officeDocument/2006/relationships/fontTable" Id="rId6" Target="fontTable.xml" /><Relationship Type="http://schemas.openxmlformats.org/officeDocument/2006/relationships/theme" Id="rId5" Target="theme/theme1.xml" /><Relationship Type="http://schemas.openxmlformats.org/officeDocument/2006/relationships/footnotes" Id="rId4" Target="footnotes.xml" /><Relationship Type="http://schemas.openxmlformats.org/officeDocument/2006/relationships/comments" Id="rId3" Target="comments.xml" /><Relationship Id="rId2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2026-06-24T16:30:12Z</dcterms:created>
  <dcterms:modified xsi:type="dcterms:W3CDTF">2026-06-24T16:30:12Z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