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p-psea-14-colusión-y-falsificación"/>
    <w:p>
      <w:pPr>
        <w:pStyle w:val="Heading1"/>
      </w:pPr>
      <w:r>
        <w:t xml:space="preserve">P-PSEA-14 — Colusión y falsificación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P-PSEA-14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2 — Procedimiento del Sistema de Gestión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maestro preliminar</w:t>
      </w:r>
      <w:r>
        <w:br/>
      </w:r>
      <w:r>
        <w:rPr>
          <w:b/>
          <w:bCs/>
        </w:rPr>
        <w:t xml:space="preserve">Cláusulas ISO/IEC 17043:2023:</w:t>
      </w:r>
      <w:r>
        <w:t xml:space="preserve"> </w:t>
      </w:r>
      <w:r>
        <w:t xml:space="preserve">7.5.3, 7.5.4, 8.4</w:t>
      </w:r>
      <w:r>
        <w:br/>
      </w:r>
      <w:r>
        <w:rPr>
          <w:b/>
          <w:bCs/>
        </w:rPr>
        <w:t xml:space="preserve">Oleada: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Oleada 3 (gobernanza)</w:t>
      </w:r>
    </w:p>
    <w:p>
      <w:r>
        <w:pict>
          <v:rect style="width:0;height:1.5pt" o:hralign="center" o:hrstd="t" o:hr="t"/>
        </w:pict>
      </w:r>
    </w:p>
    <w:bookmarkStart w:id="11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Procedimiento para prevenir, detectar y tratar indicios de colusión o falsificación en el Programa de Ensayo de Aptitud (PEA). Define controles preventivos durante la planificación de ronda, criterios operativos y estadísticos para identificar patrones sospechosos, y el flujo de escalamiento cuando los indicios puedan comprometer la validez de los resultados, la confidencialidad, la imparcialidad o el control de valores sensibles.</w:t>
      </w:r>
    </w:p>
    <w:p>
      <w:pPr>
        <w:pStyle w:val="BodyText"/>
      </w:pPr>
      <w:r>
        <w:t xml:space="preserve">Este procedimiento no sustituye el tratamiento formal de trabajo no conforme, no conformidades o acciones correctivas. Cuando un indicio se confirma o afecta la conformidad del ensayo, el caso se deriva a</w:t>
      </w:r>
      <w:r>
        <w:t xml:space="preserve"> </w:t>
      </w:r>
      <w:r>
        <w:rPr>
          <w:rStyle w:val="VerbatimChar"/>
        </w:rPr>
        <w:t xml:space="preserve">P-PSEA-15</w:t>
      </w:r>
      <w:r>
        <w:t xml:space="preserve"> </w:t>
      </w:r>
      <w:r>
        <w:t xml:space="preserve">y se documenta con los registros definidos para quejas, no conformidades o casos SGC según aplique.</w:t>
      </w:r>
    </w:p>
    <w:bookmarkEnd w:id="11"/>
    <w:bookmarkStart w:id="12" w:name="contenido-esperado"/>
    <w:p>
      <w:pPr>
        <w:pStyle w:val="Heading2"/>
      </w:pPr>
      <w:r>
        <w:t xml:space="preserve">Contenido esperado</w:t>
      </w:r>
    </w:p>
    <w:p>
      <w:pPr>
        <w:pStyle w:val="Compact"/>
        <w:numPr>
          <w:ilvl w:val="0"/>
          <w:numId w:val="1001"/>
        </w:numPr>
      </w:pPr>
      <w:r>
        <w:t xml:space="preserve">Medidas preventivas contra colusión y falsificación incluidas en el plan de ronda (</w:t>
      </w:r>
      <w:r>
        <w:rPr>
          <w:rStyle w:val="VerbatimChar"/>
        </w:rPr>
        <w:t xml:space="preserve">F-PSEA-05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Reglas de confidencialidad y segregación de información entre participantes, personal del PEA y responsables de análisis.</w:t>
      </w:r>
    </w:p>
    <w:p>
      <w:pPr>
        <w:pStyle w:val="Compact"/>
        <w:numPr>
          <w:ilvl w:val="0"/>
          <w:numId w:val="1001"/>
        </w:numPr>
      </w:pPr>
      <w:r>
        <w:t xml:space="preserve">Control de valores sensibles antes, durante y después de la ronda, incluyendo valor asignado, desviación estándar para evaluación de aptitud, concentraciones de referencia y resultados agregados.</w:t>
      </w:r>
    </w:p>
    <w:p>
      <w:pPr>
        <w:pStyle w:val="Compact"/>
        <w:numPr>
          <w:ilvl w:val="0"/>
          <w:numId w:val="1001"/>
        </w:numPr>
      </w:pPr>
      <w:r>
        <w:t xml:space="preserve">Revisión de datos reportados por participantes (</w:t>
      </w:r>
      <w:r>
        <w:rPr>
          <w:rStyle w:val="VerbatimChar"/>
        </w:rPr>
        <w:t xml:space="preserve">F-PSEA-08</w:t>
      </w:r>
      <w:r>
        <w:t xml:space="preserve">) para identificar coincidencias anómalas, patrones de transcripción, resultados artificialmente similares o cambios no justificados.</w:t>
      </w:r>
    </w:p>
    <w:p>
      <w:pPr>
        <w:pStyle w:val="Compact"/>
        <w:numPr>
          <w:ilvl w:val="0"/>
          <w:numId w:val="1001"/>
        </w:numPr>
      </w:pPr>
      <w:r>
        <w:t xml:space="preserve">Revisión del dataset consolidado (</w:t>
      </w:r>
      <w:r>
        <w:rPr>
          <w:rStyle w:val="VerbatimChar"/>
        </w:rPr>
        <w:t xml:space="preserve">F-PSEA-12</w:t>
      </w:r>
      <w:r>
        <w:t xml:space="preserve">) y de los resultados del análisis estadístico para detectar agrupamientos, tendencias o comportamientos incompatibles con independencia de medición.</w:t>
      </w:r>
    </w:p>
    <w:p>
      <w:pPr>
        <w:pStyle w:val="Compact"/>
        <w:numPr>
          <w:ilvl w:val="0"/>
          <w:numId w:val="1001"/>
        </w:numPr>
      </w:pPr>
      <w:r>
        <w:t xml:space="preserve">Criterios de evaluación del indicio: fuente, evidencia disponible, impacto potencial sobre el resultado, participantes involucrados y necesidad de contención.</w:t>
      </w:r>
    </w:p>
    <w:p>
      <w:pPr>
        <w:pStyle w:val="Compact"/>
        <w:numPr>
          <w:ilvl w:val="0"/>
          <w:numId w:val="1001"/>
        </w:numPr>
      </w:pPr>
      <w:r>
        <w:t xml:space="preserve">Escalamiento a trabajo no conforme, no conformidad o acción correctiva mediante</w:t>
      </w:r>
      <w:r>
        <w:t xml:space="preserve"> </w:t>
      </w:r>
      <w:r>
        <w:rPr>
          <w:rStyle w:val="VerbatimChar"/>
        </w:rPr>
        <w:t xml:space="preserve">P-PSEA-15</w:t>
      </w:r>
      <w:r>
        <w:t xml:space="preserve"> </w:t>
      </w:r>
      <w:r>
        <w:t xml:space="preserve">cuando el caso comprometa la validez del ensayo o el cumplimiento del SGC.</w:t>
      </w:r>
    </w:p>
    <w:p>
      <w:pPr>
        <w:pStyle w:val="Compact"/>
        <w:numPr>
          <w:ilvl w:val="0"/>
          <w:numId w:val="1001"/>
        </w:numPr>
      </w:pPr>
      <w:r>
        <w:t xml:space="preserve">Preservación de la confidencialidad operativa mediante</w:t>
      </w:r>
      <w:r>
        <w:t xml:space="preserve"> </w:t>
      </w:r>
      <w:r>
        <w:rPr>
          <w:rStyle w:val="VerbatimChar"/>
        </w:rPr>
        <w:t xml:space="preserve">P-PSEA-19</w:t>
      </w:r>
      <w:r>
        <w:t xml:space="preserve"> </w:t>
      </w:r>
      <w:r>
        <w:t xml:space="preserve">durante la investigación del indicio.</w:t>
      </w:r>
    </w:p>
    <w:p>
      <w:pPr>
        <w:pStyle w:val="Compact"/>
        <w:numPr>
          <w:ilvl w:val="0"/>
          <w:numId w:val="1001"/>
        </w:numPr>
      </w:pPr>
      <w:r>
        <w:t xml:space="preserve">Registro de decisiones, comunicaciones y evidencias asociadas al caso en el formato que corresponda (</w:t>
      </w:r>
      <w:r>
        <w:rPr>
          <w:rStyle w:val="VerbatimChar"/>
        </w:rPr>
        <w:t xml:space="preserve">F-PSEA-14</w:t>
      </w:r>
      <w:r>
        <w:t xml:space="preserve"> </w:t>
      </w:r>
      <w:r>
        <w:t xml:space="preserve">u otro registro SGC aplicable).</w:t>
      </w:r>
    </w:p>
    <w:bookmarkEnd w:id="12"/>
    <w:bookmarkStart w:id="13" w:name="dependencias"/>
    <w:p>
      <w:pPr>
        <w:pStyle w:val="Heading2"/>
      </w:pPr>
      <w:r>
        <w:t xml:space="preserve">Dependencias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F-PSEA-05</w:t>
      </w:r>
      <w:r>
        <w:t xml:space="preserve"> </w:t>
      </w:r>
      <w:r>
        <w:t xml:space="preserve">— Plan de ronda con medidas preventivas frente a colusión y falsificación.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F-PSEA-08</w:t>
      </w:r>
      <w:r>
        <w:t xml:space="preserve"> </w:t>
      </w:r>
      <w:r>
        <w:t xml:space="preserve">— Datos reportados por participantes; insumo para detección de patrones sospechosos.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F-PSEA-12</w:t>
      </w:r>
      <w:r>
        <w:t xml:space="preserve"> </w:t>
      </w:r>
      <w:r>
        <w:t xml:space="preserve">— Dataset consolidado de ronda; insumo para análisis estadístico y revisión de consistencia.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P-PSEA-07</w:t>
      </w:r>
      <w:r>
        <w:t xml:space="preserve"> </w:t>
      </w:r>
      <w:r>
        <w:t xml:space="preserve">— Diseño estadístico; referencia para criterios de detección basados en resultados y patrones.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P-PSEA-15</w:t>
      </w:r>
      <w:r>
        <w:t xml:space="preserve"> </w:t>
      </w:r>
      <w:r>
        <w:t xml:space="preserve">— Trabajo no conforme, no conformidades y acciones correctivas; ruta de tratamiento formal cuando el indicio se confirma o deriva en NC/CAPA.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P-PSEA-16</w:t>
      </w:r>
      <w:r>
        <w:t xml:space="preserve"> </w:t>
      </w:r>
      <w:r>
        <w:t xml:space="preserve">— Divulgación y control de valores sensibles; control preventivo y correctivo sobre información crítica de la ronda.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P-PSEA-19</w:t>
      </w:r>
      <w:r>
        <w:t xml:space="preserve"> </w:t>
      </w:r>
      <w:r>
        <w:t xml:space="preserve">— Confidencialidad operativa interna del PEA; protección de información durante la investigación del caso.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DG-PSEA-02</w:t>
      </w:r>
      <w:r>
        <w:t xml:space="preserve"> </w:t>
      </w:r>
      <w:r>
        <w:t xml:space="preserve">— calaire-app; soporte para trazabilidad de participación, comunicaciones y registros operativos.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DG-PSEA-03</w:t>
      </w:r>
      <w:r>
        <w:t xml:space="preserve"> </w:t>
      </w:r>
      <w:r>
        <w:t xml:space="preserve">— pt_app; soporte para análisis estadístico y revisión de patrones en datos consolidados.</w:t>
      </w:r>
    </w:p>
    <w:bookmarkEnd w:id="13"/>
    <w:bookmarkStart w:id="14" w:name="flujo-mínimo"/>
    <w:p>
      <w:pPr>
        <w:pStyle w:val="Heading2"/>
      </w:pPr>
      <w:r>
        <w:t xml:space="preserve">Flujo mínimo</w:t>
      </w:r>
    </w:p>
    <w:p>
      <w:pPr>
        <w:pStyle w:val="Compact"/>
        <w:numPr>
          <w:ilvl w:val="0"/>
          <w:numId w:val="1003"/>
        </w:numPr>
      </w:pPr>
      <w:r>
        <w:t xml:space="preserve">Definir en la planificación de ronda las medidas preventivas de independencia, confidencialidad y control de información.</w:t>
      </w:r>
    </w:p>
    <w:p>
      <w:pPr>
        <w:pStyle w:val="Compact"/>
        <w:numPr>
          <w:ilvl w:val="0"/>
          <w:numId w:val="1003"/>
        </w:numPr>
      </w:pPr>
      <w:r>
        <w:t xml:space="preserve">Recibir y consolidar los datos reportados por participantes, preservando la trazabilidad de versiones y fechas de entrega.</w:t>
      </w:r>
    </w:p>
    <w:p>
      <w:pPr>
        <w:pStyle w:val="Compact"/>
        <w:numPr>
          <w:ilvl w:val="0"/>
          <w:numId w:val="1003"/>
        </w:numPr>
      </w:pPr>
      <w:r>
        <w:t xml:space="preserve">Revisar los datos y resultados estadísticos para identificar indicios de colusión, falsificación o manipulación no justificada.</w:t>
      </w:r>
    </w:p>
    <w:p>
      <w:pPr>
        <w:pStyle w:val="Compact"/>
        <w:numPr>
          <w:ilvl w:val="0"/>
          <w:numId w:val="1003"/>
        </w:numPr>
      </w:pPr>
      <w:r>
        <w:t xml:space="preserve">Evaluar el indicio con base en evidencia objetiva, impacto potencial y participantes involucrados.</w:t>
      </w:r>
    </w:p>
    <w:p>
      <w:pPr>
        <w:pStyle w:val="Compact"/>
        <w:numPr>
          <w:ilvl w:val="0"/>
          <w:numId w:val="1003"/>
        </w:numPr>
      </w:pPr>
      <w:r>
        <w:t xml:space="preserve">Aplicar contención documental y de comunicación si el indicio puede afectar valores sensibles, confidencialidad o validez del informe.</w:t>
      </w:r>
    </w:p>
    <w:p>
      <w:pPr>
        <w:pStyle w:val="Compact"/>
        <w:numPr>
          <w:ilvl w:val="0"/>
          <w:numId w:val="1003"/>
        </w:numPr>
      </w:pPr>
      <w:r>
        <w:t xml:space="preserve">Escalar a</w:t>
      </w:r>
      <w:r>
        <w:t xml:space="preserve"> </w:t>
      </w:r>
      <w:r>
        <w:rPr>
          <w:rStyle w:val="VerbatimChar"/>
        </w:rPr>
        <w:t xml:space="preserve">P-PSEA-15</w:t>
      </w:r>
      <w:r>
        <w:t xml:space="preserve"> </w:t>
      </w:r>
      <w:r>
        <w:t xml:space="preserve">cuando el caso requiera tratamiento formal como TNC, NC o CAPA.</w:t>
      </w:r>
    </w:p>
    <w:p>
      <w:pPr>
        <w:pStyle w:val="Compact"/>
        <w:numPr>
          <w:ilvl w:val="0"/>
          <w:numId w:val="1003"/>
        </w:numPr>
      </w:pPr>
      <w:r>
        <w:t xml:space="preserve">Registrar la decisión final, las evidencias revisadas y las acciones tomadas.</w:t>
      </w:r>
    </w:p>
    <w:bookmarkEnd w:id="14"/>
    <w:bookmarkStart w:id="15" w:name="límites-de-alcance"/>
    <w:p>
      <w:pPr>
        <w:pStyle w:val="Heading2"/>
      </w:pPr>
      <w:r>
        <w:t xml:space="preserve">Límites de alcance</w:t>
      </w:r>
    </w:p>
    <w:p>
      <w:pPr>
        <w:pStyle w:val="Compact"/>
        <w:numPr>
          <w:ilvl w:val="0"/>
          <w:numId w:val="1004"/>
        </w:numPr>
      </w:pPr>
      <w:r>
        <w:t xml:space="preserve">No define criterios estadísticos nuevos; aplica los criterios definidos en</w:t>
      </w:r>
      <w:r>
        <w:t xml:space="preserve"> </w:t>
      </w:r>
      <w:r>
        <w:rPr>
          <w:rStyle w:val="VerbatimChar"/>
        </w:rPr>
        <w:t xml:space="preserve">P-PSEA-07</w:t>
      </w:r>
      <w:r>
        <w:t xml:space="preserve"> </w:t>
      </w:r>
      <w:r>
        <w:t xml:space="preserve">y en el diseño aprobado de ronda.</w:t>
      </w:r>
    </w:p>
    <w:p>
      <w:pPr>
        <w:pStyle w:val="Compact"/>
        <w:numPr>
          <w:ilvl w:val="0"/>
          <w:numId w:val="1004"/>
        </w:numPr>
      </w:pPr>
      <w:r>
        <w:t xml:space="preserve">No reemplaza el procedimiento de trabajo no conforme, no conformidades y acciones correctivas (</w:t>
      </w:r>
      <w:r>
        <w:rPr>
          <w:rStyle w:val="VerbatimChar"/>
        </w:rPr>
        <w:t xml:space="preserve">P-PSEA-15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No reemplaza el control de valores sensibles (</w:t>
      </w:r>
      <w:r>
        <w:rPr>
          <w:rStyle w:val="VerbatimChar"/>
        </w:rPr>
        <w:t xml:space="preserve">P-PSEA-16</w:t>
      </w:r>
      <w:r>
        <w:t xml:space="preserve">) ni la confidencialidad operativa (</w:t>
      </w:r>
      <w:r>
        <w:rPr>
          <w:rStyle w:val="VerbatimChar"/>
        </w:rPr>
        <w:t xml:space="preserve">P-PSEA-19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No establece sanciones institucionales externas al PEA; documenta el control operativo, la evaluación técnica y el escalamiento dentro del SGC.</w:t>
      </w:r>
    </w:p>
    <w:p>
      <w:r>
        <w:pict>
          <v:rect style="width:0;height:1.5pt" o:hralign="center" o:hrstd="t" o:hr="t"/>
        </w:pict>
      </w:r>
    </w:p>
    <w:bookmarkEnd w:id="15"/>
    <w:bookmarkStart w:id="16" w:name="trazabilidad-normativa"/>
    <w:p>
      <w:pPr>
        <w:pStyle w:val="Heading2"/>
      </w:pPr>
      <w:r>
        <w:t xml:space="preserve">Trazabilidad Normativa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Cláusula(s)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7.5.3, 7.5.4, 8.4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La prevención y detección de colusión o falsificación protege la validez de los resultados del ensayo de aptitud, la confidencialidad de la información sensible y la imparcialidad del proveedor del PEA.</w:t>
      </w:r>
    </w:p>
    <w:p>
      <w:pPr>
        <w:pStyle w:val="BlockTex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fichas_resumen/ficha_P-PSEA-14.md</w:t>
      </w:r>
    </w:p>
    <w:bookmarkEnd w:id="16"/>
    <w:bookmarkEnd w:id="17"/>
    <w:sectPr>
      <w:headerReference r:id="rId2" w:type="default"/>
      <w:type w:val="nextPage"/>
      <w:pgSz w:h="12240" w:orient="landscape" w:w="15840"/>
      <w:pgMar w:bottom="720" w:footer="0" w:gutter="0" w:header="709" w:left="720" w:right="720" w:top="765"/>
      <w:pgNumType w:fmt="decimal"/>
      <w:formProt w:val="false"/>
      <w:textDirection w:val="lrTb"/>
      <w:docGrid w:charSpace="0" w:linePitch="36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 Display">
    <w:charset w:val="00" w:characterSet="windows-1252"/>
    <w:family w:val="swiss"/>
    <w:pitch w:val="variable"/>
  </w:font>
  <w:font w:name="Calibri Light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Georgia">
    <w:charset w:val="00" w:characterSet="windows-125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4630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524"/>
      <w:gridCol w:w="9072"/>
      <w:gridCol w:w="3034"/>
    </w:tblGrid>
    <w:tr>
      <w:trPr/>
      <w:tc>
        <w:tcPr>
          <w:tcW w:w="252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lang w:val="en-US" w:eastAsia="en-US"/>
            </w:rPr>
            <w:drawing>
              <wp:inline distT="0" distB="0" distL="0" distR="0">
                <wp:extent cx="1346200" cy="621665"/>
                <wp:effectExtent l="0" t="0" r="0" b="0"/>
                <wp:docPr id="1" name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11" t="-24" r="-11" b="-2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46200" cy="6216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72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LABORATORIO DE CALIDAD DEL AIRE</w:t>
          </w:r>
        </w:p>
      </w:tc>
      <w:tc>
        <w:tcPr>
          <w:tcW w:w="30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bottom"/>
        </w:tcPr>
        <w:p>
          <w:pPr>
            <w:pStyle w:val="Head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Código: P-PSEA-14</w:t>
          </w:r>
        </w:p>
      </w:tc>
    </w:tr>
    <w:tr>
      <w:trPr/>
      <w:tc>
        <w:tcPr>
          <w:tcW w:w="252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</w:r>
        </w:p>
      </w:tc>
      <w:tc>
        <w:tcPr>
          <w:tcW w:w="907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30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bottom"/>
        </w:tcPr>
        <w:p>
          <w:pPr>
            <w:pStyle w:val="Header"/>
            <w:rPr>
              <w:rFonts w:ascii="Arial" w:hAnsi="Arial" w:cs="Arial"/>
              <w:b/>
              <w:sz w:val="20"/>
              <w:szCs w:val="16"/>
            </w:rPr>
          </w:pPr>
          <w:r>
            <w:rPr>
              <w:rFonts w:cs="Arial" w:ascii="Arial" w:hAnsi="Arial"/>
              <w:b/>
              <w:sz w:val="20"/>
              <w:szCs w:val="16"/>
            </w:rPr>
            <w:t>Versión: 01</w:t>
          </w:r>
        </w:p>
      </w:tc>
    </w:tr>
    <w:tr>
      <w:trPr/>
      <w:tc>
        <w:tcPr>
          <w:tcW w:w="252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</w:r>
        </w:p>
      </w:tc>
      <w:tc>
        <w:tcPr>
          <w:tcW w:w="907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pacing w:before="120" w:after="1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COLUSION Y FALSIFICACION</w:t>
          </w:r>
        </w:p>
      </w:tc>
      <w:tc>
        <w:tcPr>
          <w:tcW w:w="30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16"/>
            </w:rPr>
            <w:t xml:space="preserve">Página </w:t>
          </w:r>
          <w:r>
            <w:rPr>
              <w:rFonts w:cs="Arial" w:ascii="Arial" w:hAnsi="Arial"/>
              <w:b/>
              <w:sz w:val="20"/>
              <w:szCs w:val="16"/>
            </w:rPr>
            <w:fldChar w:fldCharType="begin"/>
          </w:r>
          <w:r>
            <w:rPr>
              <w:rFonts w:cs="Arial" w:ascii="Arial" w:hAnsi="Arial"/>
              <w:b/>
              <w:sz w:val="20"/>
              <w:szCs w:val="16"/>
            </w:rPr>
            <w:instrText xml:space="preserve"> PAGE </w:instrText>
          </w:r>
          <w:r>
            <w:rPr>
              <w:rFonts w:cs="Arial" w:ascii="Arial" w:hAnsi="Arial"/>
              <w:b/>
              <w:sz w:val="20"/>
              <w:szCs w:val="16"/>
            </w:rPr>
            <w:fldChar w:fldCharType="separate"/>
          </w:r>
          <w:r>
            <w:rPr>
              <w:rFonts w:cs="Arial" w:ascii="Arial" w:hAnsi="Arial"/>
              <w:b/>
              <w:sz w:val="20"/>
              <w:szCs w:val="16"/>
            </w:rPr>
            <w:t>1</w:t>
          </w:r>
          <w:r>
            <w:rPr>
              <w:rFonts w:cs="Arial" w:ascii="Arial" w:hAnsi="Arial"/>
              <w:b/>
              <w:sz w:val="20"/>
              <w:szCs w:val="16"/>
            </w:rPr>
            <w:fldChar w:fldCharType="end"/>
          </w:r>
          <w:r>
            <w:rPr>
              <w:rFonts w:cs="Arial" w:ascii="Arial" w:hAnsi="Arial"/>
              <w:b/>
              <w:sz w:val="20"/>
              <w:szCs w:val="16"/>
            </w:rPr>
            <w:t xml:space="preserve"> de </w:t>
          </w:r>
          <w:r>
            <w:rPr>
              <w:rFonts w:cs="Arial" w:ascii="Arial" w:hAnsi="Arial"/>
              <w:b/>
              <w:sz w:val="20"/>
              <w:szCs w:val="16"/>
            </w:rPr>
            <w:fldChar w:fldCharType="begin"/>
          </w:r>
          <w:r>
            <w:rPr>
              <w:rFonts w:cs="Arial" w:ascii="Arial" w:hAnsi="Arial"/>
              <w:b/>
              <w:sz w:val="20"/>
              <w:szCs w:val="16"/>
            </w:rPr>
            <w:instrText xml:space="preserve"> NUMPAGES \* ARABIC </w:instrText>
          </w:r>
          <w:r>
            <w:rPr>
              <w:rFonts w:cs="Arial" w:ascii="Arial" w:hAnsi="Arial"/>
              <w:b/>
              <w:sz w:val="20"/>
              <w:szCs w:val="16"/>
            </w:rPr>
            <w:fldChar w:fldCharType="separate"/>
          </w:r>
          <w:r>
            <w:rPr>
              <w:rFonts w:cs="Arial" w:ascii="Arial" w:hAnsi="Arial"/>
              <w:b/>
              <w:sz w:val="20"/>
              <w:szCs w:val="16"/>
            </w:rPr>
            <w:t>1</w:t>
          </w:r>
          <w:r>
            <w:rPr>
              <w:rFonts w:cs="Arial" w:ascii="Arial" w:hAnsi="Arial"/>
              <w:b/>
              <w:sz w:val="20"/>
              <w:szCs w:val="16"/>
            </w:rPr>
            <w:fldChar w:fldCharType="end"/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pos="0" w:val="num"/>
        </w:tabs>
        <w:ind w:hanging="0" w:start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pos="0" w:val="num"/>
        </w:tabs>
        <w:ind w:hanging="0" w:start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pos="0" w:val="num"/>
        </w:tabs>
        <w:ind w:hanging="0" w:start="0"/>
      </w:pPr>
    </w:lvl>
    <w:lvl w:ilvl="3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4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5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pos="0" w:val="num"/>
        </w:tabs>
        <w:ind w:hanging="360" w:start="360"/>
      </w:pPr>
      <w:rPr>
        <w:b/>
        <w:i w:val="false"/>
      </w:rPr>
    </w:lvl>
    <w:lvl w:ilvl="1">
      <w:start w:val="1"/>
      <w:numFmt w:val="decimal"/>
      <w:lvlText w:val="%1.%2."/>
      <w:lvlJc w:val="start"/>
      <w:pPr>
        <w:tabs>
          <w:tab w:pos="0" w:val="num"/>
        </w:tabs>
        <w:ind w:hanging="432" w:start="792"/>
      </w:pPr>
      <w:rPr>
        <w:b/>
      </w:rPr>
    </w:lvl>
    <w:lvl w:ilvl="2">
      <w:start w:val="1"/>
      <w:numFmt w:val="decimal"/>
      <w:lvlText w:val="%1.%2.%3."/>
      <w:lvlJc w:val="start"/>
      <w:pPr>
        <w:tabs>
          <w:tab w:pos="0" w:val="num"/>
        </w:tabs>
        <w:ind w:hanging="504" w:start="1224"/>
      </w:pPr>
      <w:rPr>
        <w:b/>
      </w:rPr>
    </w:lvl>
    <w:lvl w:ilvl="3">
      <w:start w:val="1"/>
      <w:numFmt w:val="decimal"/>
      <w:lvlText w:val="%1.%2.%3.%4."/>
      <w:lvlJc w:val="start"/>
      <w:pPr>
        <w:tabs>
          <w:tab w:pos="0" w:val="num"/>
        </w:tabs>
        <w:ind w:hanging="648" w:start="1728"/>
      </w:pPr>
    </w:lvl>
    <w:lvl w:ilvl="4">
      <w:start w:val="1"/>
      <w:numFmt w:val="decimal"/>
      <w:lvlText w:val="%1.%2.%3.%4.%5."/>
      <w:lvlJc w:val="start"/>
      <w:pPr>
        <w:tabs>
          <w:tab w:pos="0" w:val="num"/>
        </w:tabs>
        <w:ind w:hanging="792" w:start="2232"/>
      </w:pPr>
    </w:lvl>
    <w:lvl w:ilvl="5">
      <w:start w:val="1"/>
      <w:numFmt w:val="decimal"/>
      <w:lvlText w:val="%1.%2.%3.%4.%5.%6."/>
      <w:lvlJc w:val="start"/>
      <w:pPr>
        <w:tabs>
          <w:tab w:pos="0" w:val="num"/>
        </w:tabs>
        <w:ind w:hanging="936" w:start="2736"/>
      </w:pPr>
    </w:lvl>
    <w:lvl w:ilvl="6">
      <w:start w:val="1"/>
      <w:numFmt w:val="decimal"/>
      <w:lvlText w:val="%1.%2.%3.%4.%5.%6.%7."/>
      <w:lvlJc w:val="start"/>
      <w:pPr>
        <w:tabs>
          <w:tab w:pos="0" w:val="num"/>
        </w:tabs>
        <w:ind w:hanging="1080" w:start="3240"/>
      </w:pPr>
    </w:lvl>
    <w:lvl w:ilvl="7">
      <w:start w:val="1"/>
      <w:numFmt w:val="decimal"/>
      <w:lvlText w:val="%1.%2.%3.%4.%5.%6.%7.%8."/>
      <w:lvlJc w:val="start"/>
      <w:pPr>
        <w:tabs>
          <w:tab w:pos="0" w:val="num"/>
        </w:tabs>
        <w:ind w:hanging="1224" w:start="3744"/>
      </w:pPr>
    </w:lvl>
    <w:lvl w:ilvl="8">
      <w:start w:val="1"/>
      <w:numFmt w:val="decimal"/>
      <w:lvlText w:val="%1.%2.%3.%4.%5.%6.%7.%8.%9."/>
      <w:lvlJc w:val="start"/>
      <w:pPr>
        <w:tabs>
          <w:tab w:pos="0" w:val="num"/>
        </w:tabs>
        <w:ind w:hanging="1440" w:start="43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 w:val="true"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BreakWrappedTables/>
    <w:compatSetting w:name="compatibilityMode" w:uri="http://schemas.microsoft.com/office/word" w:val="11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Liberation Serif" w:cs="Liberation Sans" w:eastAsia="Noto Serif CJK SC" w:hAnsi="Liberation Serif"/>
        <w:sz w:val="24"/>
        <w:szCs w:val="24"/>
        <w:lang w:bidi="hi-IN" w:eastAsia="zh-CN" w:val="en-US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/>
      <w:bidi w:val="0"/>
    </w:pPr>
    <w:rPr>
      <w:rFonts w:ascii="Times New Roman" w:cs="Times New Roman" w:eastAsia="Times New Roman" w:hAnsi="Times New Roman"/>
      <w:color w:val="auto"/>
      <w:sz w:val="24"/>
      <w:szCs w:val="24"/>
      <w:lang w:bidi="ar-SA" w:eastAsia="zh-CN" w:val="es-ES"/>
    </w:rPr>
  </w:style>
  <w:style w:styleId="Heading1" w:type="paragraph">
    <w:name w:val="heading 1"/>
    <w:basedOn w:val="Normal"/>
    <w:next w:val="Normal"/>
    <w:qFormat/>
    <w:pPr>
      <w:keepNext w:val="true"/>
      <w:numPr>
        <w:ilvl w:val="0"/>
        <w:numId w:val="1"/>
      </w:numPr>
      <w:spacing w:after="60" w:before="240"/>
      <w:outlineLvl w:val="0"/>
    </w:pPr>
    <w:rPr>
      <w:rFonts w:ascii="Arial" w:cs="Arial" w:hAnsi="Arial"/>
      <w:b/>
      <w:bCs/>
      <w:kern w:val="2"/>
      <w:sz w:val="32"/>
      <w:szCs w:val="32"/>
    </w:rPr>
  </w:style>
  <w:style w:styleId="Heading2" w:type="paragraph">
    <w:name w:val="heading 2"/>
    <w:basedOn w:val="Normal"/>
    <w:next w:val="Normal"/>
    <w:qFormat/>
    <w:pPr>
      <w:keepNext w:val="true"/>
      <w:numPr>
        <w:ilvl w:val="1"/>
        <w:numId w:val="1"/>
      </w:numPr>
      <w:spacing w:after="60" w:before="240"/>
      <w:outlineLvl w:val="1"/>
    </w:pPr>
    <w:rPr>
      <w:rFonts w:ascii="Aptos Display" w:cs="Times New Roman" w:eastAsia="Times New Roman" w:hAnsi="Aptos Display"/>
      <w:b/>
      <w:bCs/>
      <w:i/>
      <w:iCs/>
      <w:sz w:val="28"/>
      <w:szCs w:val="28"/>
    </w:rPr>
  </w:style>
  <w:style w:styleId="Heading3" w:type="paragraph">
    <w:name w:val="heading 3"/>
    <w:basedOn w:val="Normal"/>
    <w:next w:val="Normal"/>
    <w:qFormat/>
    <w:pPr>
      <w:keepNext w:val="true"/>
      <w:numPr>
        <w:ilvl w:val="2"/>
        <w:numId w:val="1"/>
      </w:numPr>
      <w:spacing w:after="60" w:before="240"/>
      <w:outlineLvl w:val="2"/>
    </w:pPr>
    <w:rPr>
      <w:rFonts w:ascii="Calibri Light" w:cs="Times New Roman" w:eastAsia="Times New Roman" w:hAnsi="Calibri Light"/>
      <w:b/>
      <w:bCs/>
      <w:sz w:val="26"/>
      <w:szCs w:val="26"/>
    </w:rPr>
  </w:style>
  <w:style w:styleId="WW8Num1z0" w:type="character">
    <w:name w:val="WW8Num1z0"/>
    <w:qFormat/>
    <w:rPr>
      <w:rFonts w:ascii="Symbol" w:cs="Symbol" w:hAnsi="Symbol"/>
    </w:rPr>
  </w:style>
  <w:style w:styleId="WW8Num1z2" w:type="character">
    <w:name w:val="WW8Num1z2"/>
    <w:qFormat/>
    <w:rPr>
      <w:rFonts w:ascii="Courier New" w:cs="Courier New" w:hAnsi="Courier New"/>
    </w:rPr>
  </w:style>
  <w:style w:styleId="WW8Num1z3" w:type="character">
    <w:name w:val="WW8Num1z3"/>
    <w:qFormat/>
    <w:rPr>
      <w:rFonts w:ascii="Wingdings" w:cs="Wingdings" w:hAnsi="Wingdings"/>
    </w:rPr>
  </w:style>
  <w:style w:styleId="WW8Num2z0" w:type="character">
    <w:name w:val="WW8Num2z0"/>
    <w:qFormat/>
    <w:rPr>
      <w:rFonts w:ascii="Symbol" w:cs="Symbol" w:hAnsi="Symbol"/>
    </w:rPr>
  </w:style>
  <w:style w:styleId="WW8Num2z1" w:type="character">
    <w:name w:val="WW8Num2z1"/>
    <w:qFormat/>
    <w:rPr>
      <w:rFonts w:ascii="Courier New" w:cs="Courier New" w:hAnsi="Courier New"/>
    </w:rPr>
  </w:style>
  <w:style w:styleId="WW8Num2z2" w:type="character">
    <w:name w:val="WW8Num2z2"/>
    <w:qFormat/>
    <w:rPr>
      <w:rFonts w:ascii="Wingdings" w:cs="Wingdings" w:hAnsi="Wingdings"/>
    </w:rPr>
  </w:style>
  <w:style w:styleId="WW8Num3z0" w:type="character">
    <w:name w:val="WW8Num3z0"/>
    <w:qFormat/>
    <w:rPr>
      <w:rFonts w:ascii="Symbol" w:cs="Symbol" w:hAnsi="Symbol"/>
    </w:rPr>
  </w:style>
  <w:style w:styleId="WW8Num3z1" w:type="character">
    <w:name w:val="WW8Num3z1"/>
    <w:qFormat/>
    <w:rPr>
      <w:rFonts w:ascii="Courier New" w:cs="Courier New" w:hAnsi="Courier New"/>
    </w:rPr>
  </w:style>
  <w:style w:styleId="WW8Num3z2" w:type="character">
    <w:name w:val="WW8Num3z2"/>
    <w:qFormat/>
    <w:rPr>
      <w:rFonts w:ascii="Wingdings" w:cs="Wingdings" w:hAnsi="Wingdings"/>
    </w:rPr>
  </w:style>
  <w:style w:styleId="WW8Num4z0" w:type="character">
    <w:name w:val="WW8Num4z0"/>
    <w:qFormat/>
    <w:rPr>
      <w:b/>
    </w:rPr>
  </w:style>
  <w:style w:styleId="WW8Num6z1" w:type="character">
    <w:name w:val="WW8Num6z1"/>
    <w:qFormat/>
    <w:rPr>
      <w:b w:val="false"/>
    </w:rPr>
  </w:style>
  <w:style w:styleId="WW8Num7z0" w:type="character">
    <w:name w:val="WW8Num7z0"/>
    <w:qFormat/>
    <w:rPr>
      <w:b/>
    </w:rPr>
  </w:style>
  <w:style w:styleId="WW8Num8z0" w:type="character">
    <w:name w:val="WW8Num8z0"/>
    <w:qFormat/>
    <w:rPr>
      <w:rFonts w:ascii="Symbol" w:cs="Symbol" w:hAnsi="Symbol"/>
    </w:rPr>
  </w:style>
  <w:style w:styleId="WW8Num8z1" w:type="character">
    <w:name w:val="WW8Num8z1"/>
    <w:qFormat/>
    <w:rPr>
      <w:rFonts w:ascii="Courier New" w:cs="Courier New" w:hAnsi="Courier New"/>
    </w:rPr>
  </w:style>
  <w:style w:styleId="WW8Num8z2" w:type="character">
    <w:name w:val="WW8Num8z2"/>
    <w:qFormat/>
    <w:rPr>
      <w:rFonts w:ascii="Wingdings" w:cs="Wingdings" w:hAnsi="Wingdings"/>
    </w:rPr>
  </w:style>
  <w:style w:styleId="WW8Num9z0" w:type="character">
    <w:name w:val="WW8Num9z0"/>
    <w:qFormat/>
    <w:rPr>
      <w:rFonts w:ascii="Symbol" w:cs="Symbol" w:hAnsi="Symbol"/>
    </w:rPr>
  </w:style>
  <w:style w:styleId="WW8Num9z1" w:type="character">
    <w:name w:val="WW8Num9z1"/>
    <w:qFormat/>
    <w:rPr>
      <w:rFonts w:ascii="Courier New" w:cs="Courier New" w:hAnsi="Courier New"/>
    </w:rPr>
  </w:style>
  <w:style w:styleId="WW8Num9z2" w:type="character">
    <w:name w:val="WW8Num9z2"/>
    <w:qFormat/>
    <w:rPr>
      <w:rFonts w:ascii="Wingdings" w:cs="Wingdings" w:hAnsi="Wingdings"/>
    </w:rPr>
  </w:style>
  <w:style w:styleId="WW8Num11z0" w:type="character">
    <w:name w:val="WW8Num11z0"/>
    <w:qFormat/>
    <w:rPr>
      <w:b/>
    </w:rPr>
  </w:style>
  <w:style w:styleId="WW8Num12z0" w:type="character">
    <w:name w:val="WW8Num12z0"/>
    <w:qFormat/>
    <w:rPr>
      <w:b w:val="false"/>
    </w:rPr>
  </w:style>
  <w:style w:styleId="WW8Num13z0" w:type="character">
    <w:name w:val="WW8Num13z0"/>
    <w:qFormat/>
    <w:rPr>
      <w:b/>
    </w:rPr>
  </w:style>
  <w:style w:styleId="WW8Num14z0" w:type="character">
    <w:name w:val="WW8Num14z0"/>
    <w:qFormat/>
    <w:rPr>
      <w:rFonts w:ascii="Symbol" w:cs="Symbol" w:hAnsi="Symbol"/>
    </w:rPr>
  </w:style>
  <w:style w:styleId="WW8Num14z1" w:type="character">
    <w:name w:val="WW8Num14z1"/>
    <w:qFormat/>
    <w:rPr>
      <w:rFonts w:ascii="Courier New" w:cs="Courier New" w:hAnsi="Courier New"/>
    </w:rPr>
  </w:style>
  <w:style w:styleId="WW8Num14z5" w:type="character">
    <w:name w:val="WW8Num14z5"/>
    <w:qFormat/>
    <w:rPr>
      <w:rFonts w:ascii="Wingdings" w:cs="Wingdings" w:hAnsi="Wingdings"/>
    </w:rPr>
  </w:style>
  <w:style w:styleId="WW8Num15z0" w:type="character">
    <w:name w:val="WW8Num15z0"/>
    <w:qFormat/>
    <w:rPr>
      <w:rFonts w:ascii="Symbol" w:cs="Symbol" w:hAnsi="Symbol"/>
    </w:rPr>
  </w:style>
  <w:style w:styleId="WW8Num15z1" w:type="character">
    <w:name w:val="WW8Num15z1"/>
    <w:qFormat/>
    <w:rPr>
      <w:rFonts w:ascii="Courier New" w:cs="Courier New" w:hAnsi="Courier New"/>
    </w:rPr>
  </w:style>
  <w:style w:styleId="WW8Num15z2" w:type="character">
    <w:name w:val="WW8Num15z2"/>
    <w:qFormat/>
    <w:rPr>
      <w:rFonts w:ascii="Wingdings" w:cs="Wingdings" w:hAnsi="Wingdings"/>
    </w:rPr>
  </w:style>
  <w:style w:styleId="WW8Num16z0" w:type="character">
    <w:name w:val="WW8Num16z0"/>
    <w:qFormat/>
    <w:rPr>
      <w:rFonts w:ascii="Symbol" w:cs="Symbol" w:hAnsi="Symbol"/>
    </w:rPr>
  </w:style>
  <w:style w:styleId="WW8Num16z1" w:type="character">
    <w:name w:val="WW8Num16z1"/>
    <w:qFormat/>
    <w:rPr>
      <w:rFonts w:ascii="Courier New" w:cs="Courier New" w:hAnsi="Courier New"/>
    </w:rPr>
  </w:style>
  <w:style w:styleId="WW8Num16z2" w:type="character">
    <w:name w:val="WW8Num16z2"/>
    <w:qFormat/>
    <w:rPr>
      <w:rFonts w:ascii="Wingdings" w:cs="Wingdings" w:hAnsi="Wingdings"/>
    </w:rPr>
  </w:style>
  <w:style w:styleId="WW8Num17z0" w:type="character">
    <w:name w:val="WW8Num17z0"/>
    <w:qFormat/>
    <w:rPr>
      <w:rFonts w:ascii="Symbol" w:cs="Symbol" w:hAnsi="Symbol"/>
    </w:rPr>
  </w:style>
  <w:style w:styleId="WW8Num17z1" w:type="character">
    <w:name w:val="WW8Num17z1"/>
    <w:qFormat/>
    <w:rPr>
      <w:rFonts w:ascii="Courier New" w:cs="Courier New" w:hAnsi="Courier New"/>
    </w:rPr>
  </w:style>
  <w:style w:styleId="WW8Num17z2" w:type="character">
    <w:name w:val="WW8Num17z2"/>
    <w:qFormat/>
    <w:rPr>
      <w:rFonts w:ascii="Wingdings" w:cs="Wingdings" w:hAnsi="Wingdings"/>
    </w:rPr>
  </w:style>
  <w:style w:styleId="WW8Num18z0" w:type="character">
    <w:name w:val="WW8Num18z0"/>
    <w:qFormat/>
    <w:rPr>
      <w:b/>
      <w:i w:val="false"/>
    </w:rPr>
  </w:style>
  <w:style w:styleId="WW8Num19z0" w:type="character">
    <w:name w:val="WW8Num19z0"/>
    <w:qFormat/>
    <w:rPr>
      <w:rFonts w:ascii="Symbol" w:cs="Symbol" w:hAnsi="Symbol"/>
    </w:rPr>
  </w:style>
  <w:style w:styleId="WW8Num19z1" w:type="character">
    <w:name w:val="WW8Num19z1"/>
    <w:qFormat/>
    <w:rPr>
      <w:rFonts w:ascii="Courier New" w:cs="Courier New" w:hAnsi="Courier New"/>
    </w:rPr>
  </w:style>
  <w:style w:styleId="WW8Num19z2" w:type="character">
    <w:name w:val="WW8Num19z2"/>
    <w:qFormat/>
    <w:rPr>
      <w:rFonts w:ascii="Wingdings" w:cs="Wingdings" w:hAnsi="Wingdings"/>
    </w:rPr>
  </w:style>
  <w:style w:styleId="WW8Num20z0" w:type="character">
    <w:name w:val="WW8Num20z0"/>
    <w:qFormat/>
    <w:rPr>
      <w:rFonts w:ascii="Symbol" w:cs="Symbol" w:hAnsi="Symbol"/>
      <w:b/>
    </w:rPr>
  </w:style>
  <w:style w:styleId="WW8Num20z1" w:type="character">
    <w:name w:val="WW8Num20z1"/>
    <w:qFormat/>
    <w:rPr>
      <w:rFonts w:ascii="Arial" w:cs="Arial" w:eastAsia="Times New Roman" w:hAnsi="Arial"/>
    </w:rPr>
  </w:style>
  <w:style w:styleId="WW8Num22z0" w:type="character">
    <w:name w:val="WW8Num22z0"/>
    <w:qFormat/>
    <w:rPr>
      <w:rFonts w:ascii="Symbol" w:cs="Symbol" w:hAnsi="Symbol"/>
      <w:color w:val="000000"/>
    </w:rPr>
  </w:style>
  <w:style w:styleId="WW8Num23z0" w:type="character">
    <w:name w:val="WW8Num23z0"/>
    <w:qFormat/>
    <w:rPr>
      <w:b/>
    </w:rPr>
  </w:style>
  <w:style w:styleId="WW8Num24z0" w:type="character">
    <w:name w:val="WW8Num24z0"/>
    <w:qFormat/>
    <w:rPr>
      <w:b w:val="false"/>
    </w:rPr>
  </w:style>
  <w:style w:styleId="WW8Num25z0" w:type="character">
    <w:name w:val="WW8Num25z0"/>
    <w:qFormat/>
    <w:rPr>
      <w:b/>
    </w:rPr>
  </w:style>
  <w:style w:styleId="WW8Num26z0" w:type="character">
    <w:name w:val="WW8Num26z0"/>
    <w:qFormat/>
    <w:rPr>
      <w:rFonts w:ascii="Symbol" w:cs="Symbol" w:hAnsi="Symbol"/>
    </w:rPr>
  </w:style>
  <w:style w:styleId="WW8Num26z1" w:type="character">
    <w:name w:val="WW8Num26z1"/>
    <w:qFormat/>
    <w:rPr>
      <w:rFonts w:ascii="Courier New" w:cs="Courier New" w:hAnsi="Courier New"/>
    </w:rPr>
  </w:style>
  <w:style w:styleId="WW8Num26z2" w:type="character">
    <w:name w:val="WW8Num26z2"/>
    <w:qFormat/>
    <w:rPr>
      <w:rFonts w:ascii="Wingdings" w:cs="Wingdings" w:hAnsi="Wingdings"/>
    </w:rPr>
  </w:style>
  <w:style w:styleId="WW8Num27z0" w:type="character">
    <w:name w:val="WW8Num27z0"/>
    <w:qFormat/>
    <w:rPr>
      <w:rFonts w:ascii="Symbol" w:cs="Symbol" w:hAnsi="Symbol"/>
      <w:color w:val="000000"/>
    </w:rPr>
  </w:style>
  <w:style w:styleId="WW8Num27z1" w:type="character">
    <w:name w:val="WW8Num27z1"/>
    <w:qFormat/>
    <w:rPr>
      <w:rFonts w:ascii="Courier New" w:cs="Courier New" w:hAnsi="Courier New"/>
    </w:rPr>
  </w:style>
  <w:style w:styleId="WW8Num27z2" w:type="character">
    <w:name w:val="WW8Num27z2"/>
    <w:qFormat/>
    <w:rPr>
      <w:rFonts w:ascii="Wingdings" w:cs="Wingdings" w:hAnsi="Wingdings"/>
    </w:rPr>
  </w:style>
  <w:style w:styleId="WW8Num27z3" w:type="character">
    <w:name w:val="WW8Num27z3"/>
    <w:qFormat/>
    <w:rPr>
      <w:rFonts w:ascii="Symbol" w:cs="Symbol" w:hAnsi="Symbol"/>
    </w:rPr>
  </w:style>
  <w:style w:styleId="WW8Num28z0" w:type="character">
    <w:name w:val="WW8Num28z0"/>
    <w:qFormat/>
    <w:rPr>
      <w:b/>
    </w:rPr>
  </w:style>
  <w:style w:styleId="WW8Num28z1" w:type="character">
    <w:name w:val="WW8Num28z1"/>
    <w:qFormat/>
    <w:rPr/>
  </w:style>
  <w:style w:styleId="WW8Num29z0" w:type="character">
    <w:name w:val="WW8Num29z0"/>
    <w:qFormat/>
    <w:rPr>
      <w:b/>
      <w:i w:val="false"/>
    </w:rPr>
  </w:style>
  <w:style w:styleId="WW8Num30z0" w:type="character">
    <w:name w:val="WW8Num30z0"/>
    <w:qFormat/>
    <w:rPr>
      <w:rFonts w:ascii="Symbol" w:cs="Symbol" w:hAnsi="Symbol"/>
    </w:rPr>
  </w:style>
  <w:style w:styleId="WW8Num30z1" w:type="character">
    <w:name w:val="WW8Num30z1"/>
    <w:qFormat/>
    <w:rPr>
      <w:rFonts w:ascii="Courier New" w:cs="Courier New" w:hAnsi="Courier New"/>
    </w:rPr>
  </w:style>
  <w:style w:styleId="WW8Num30z2" w:type="character">
    <w:name w:val="WW8Num30z2"/>
    <w:qFormat/>
    <w:rPr>
      <w:rFonts w:ascii="Wingdings" w:cs="Wingdings" w:hAnsi="Wingdings"/>
    </w:rPr>
  </w:style>
  <w:style w:styleId="WW8Num31z0" w:type="character">
    <w:name w:val="WW8Num31z0"/>
    <w:qFormat/>
    <w:rPr/>
  </w:style>
  <w:style w:styleId="WW8Num32z0" w:type="character">
    <w:name w:val="WW8Num32z0"/>
    <w:qFormat/>
    <w:rPr>
      <w:rFonts w:ascii="Symbol" w:cs="Symbol" w:hAnsi="Symbol"/>
    </w:rPr>
  </w:style>
  <w:style w:styleId="WW8Num32z1" w:type="character">
    <w:name w:val="WW8Num32z1"/>
    <w:qFormat/>
    <w:rPr>
      <w:rFonts w:ascii="Courier New" w:cs="Courier New" w:hAnsi="Courier New"/>
    </w:rPr>
  </w:style>
  <w:style w:styleId="WW8Num32z2" w:type="character">
    <w:name w:val="WW8Num32z2"/>
    <w:qFormat/>
    <w:rPr>
      <w:rFonts w:ascii="Wingdings" w:cs="Wingdings" w:hAnsi="Wingdings"/>
    </w:rPr>
  </w:style>
  <w:style w:styleId="WW8Num33z0" w:type="character">
    <w:name w:val="WW8Num33z0"/>
    <w:qFormat/>
    <w:rPr>
      <w:b/>
    </w:rPr>
  </w:style>
  <w:style w:styleId="WW8Num33z1" w:type="character">
    <w:name w:val="WW8Num33z1"/>
    <w:qFormat/>
    <w:rPr>
      <w:rFonts w:ascii="Arial" w:cs="Arial" w:eastAsia="Times New Roman" w:hAnsi="Arial"/>
    </w:rPr>
  </w:style>
  <w:style w:styleId="WW8Num34z0" w:type="character">
    <w:name w:val="WW8Num34z0"/>
    <w:qFormat/>
    <w:rPr>
      <w:b/>
    </w:rPr>
  </w:style>
  <w:style w:styleId="WW8Num34z1" w:type="character">
    <w:name w:val="WW8Num34z1"/>
    <w:qFormat/>
    <w:rPr>
      <w:rFonts w:ascii="Arial" w:cs="Arial" w:eastAsia="Times New Roman" w:hAnsi="Arial"/>
    </w:rPr>
  </w:style>
  <w:style w:styleId="WW8Num35z0" w:type="character">
    <w:name w:val="WW8Num35z0"/>
    <w:qFormat/>
    <w:rPr>
      <w:rFonts w:ascii="Symbol" w:cs="Symbol" w:hAnsi="Symbol"/>
    </w:rPr>
  </w:style>
  <w:style w:styleId="WW8Num35z1" w:type="character">
    <w:name w:val="WW8Num35z1"/>
    <w:qFormat/>
    <w:rPr>
      <w:rFonts w:ascii="Courier New" w:cs="Courier New" w:hAnsi="Courier New"/>
    </w:rPr>
  </w:style>
  <w:style w:styleId="WW8Num35z2" w:type="character">
    <w:name w:val="WW8Num35z2"/>
    <w:qFormat/>
    <w:rPr>
      <w:rFonts w:ascii="Wingdings" w:cs="Wingdings" w:hAnsi="Wingdings"/>
    </w:rPr>
  </w:style>
  <w:style w:styleId="WW8Num36z0" w:type="character">
    <w:name w:val="WW8Num36z0"/>
    <w:qFormat/>
    <w:rPr>
      <w:rFonts w:ascii="Symbol" w:cs="Symbol" w:hAnsi="Symbol"/>
    </w:rPr>
  </w:style>
  <w:style w:styleId="WW8Num36z1" w:type="character">
    <w:name w:val="WW8Num36z1"/>
    <w:qFormat/>
    <w:rPr>
      <w:rFonts w:ascii="Courier New" w:cs="Courier New" w:hAnsi="Courier New"/>
    </w:rPr>
  </w:style>
  <w:style w:styleId="WW8Num36z2" w:type="character">
    <w:name w:val="WW8Num36z2"/>
    <w:qFormat/>
    <w:rPr>
      <w:rFonts w:ascii="Wingdings" w:cs="Wingdings" w:hAnsi="Wingdings"/>
    </w:rPr>
  </w:style>
  <w:style w:styleId="WW8Num38z0" w:type="character">
    <w:name w:val="WW8Num38z0"/>
    <w:qFormat/>
    <w:rPr>
      <w:rFonts w:ascii="Symbol" w:cs="Symbol" w:hAnsi="Symbol"/>
    </w:rPr>
  </w:style>
  <w:style w:styleId="WW8Num38z1" w:type="character">
    <w:name w:val="WW8Num38z1"/>
    <w:qFormat/>
    <w:rPr>
      <w:rFonts w:ascii="Courier New" w:cs="Courier New" w:hAnsi="Courier New"/>
    </w:rPr>
  </w:style>
  <w:style w:styleId="WW8Num38z2" w:type="character">
    <w:name w:val="WW8Num38z2"/>
    <w:qFormat/>
    <w:rPr>
      <w:rFonts w:ascii="Wingdings" w:cs="Wingdings" w:hAnsi="Wingdings"/>
    </w:rPr>
  </w:style>
  <w:style w:styleId="WW8Num39z0" w:type="character">
    <w:name w:val="WW8Num39z0"/>
    <w:qFormat/>
    <w:rPr>
      <w:b/>
      <w:i w:val="false"/>
    </w:rPr>
  </w:style>
  <w:style w:styleId="WW8Num40z0" w:type="character">
    <w:name w:val="WW8Num40z0"/>
    <w:qFormat/>
    <w:rPr>
      <w:rFonts w:ascii="Symbol" w:cs="Symbol" w:hAnsi="Symbol"/>
    </w:rPr>
  </w:style>
  <w:style w:styleId="WW8Num40z1" w:type="character">
    <w:name w:val="WW8Num40z1"/>
    <w:qFormat/>
    <w:rPr>
      <w:rFonts w:ascii="Courier New" w:cs="Courier New" w:hAnsi="Courier New"/>
    </w:rPr>
  </w:style>
  <w:style w:styleId="WW8Num40z2" w:type="character">
    <w:name w:val="WW8Num40z2"/>
    <w:qFormat/>
    <w:rPr>
      <w:rFonts w:ascii="Wingdings" w:cs="Wingdings" w:hAnsi="Wingdings"/>
    </w:rPr>
  </w:style>
  <w:style w:styleId="WW8Num41z0" w:type="character">
    <w:name w:val="WW8Num41z0"/>
    <w:qFormat/>
    <w:rPr>
      <w:b/>
      <w:i w:val="false"/>
    </w:rPr>
  </w:style>
  <w:style w:styleId="WW8Num41z1" w:type="character">
    <w:name w:val="WW8Num41z1"/>
    <w:qFormat/>
    <w:rPr>
      <w:b/>
    </w:rPr>
  </w:style>
  <w:style w:styleId="WW8Num42z0" w:type="character">
    <w:name w:val="WW8Num42z0"/>
    <w:qFormat/>
    <w:rPr>
      <w:b/>
    </w:rPr>
  </w:style>
  <w:style w:styleId="WW8Num43z0" w:type="character">
    <w:name w:val="WW8Num43z0"/>
    <w:qFormat/>
    <w:rPr>
      <w:rFonts w:ascii="Symbol" w:cs="Symbol" w:hAnsi="Symbol"/>
    </w:rPr>
  </w:style>
  <w:style w:styleId="WW8Num43z1" w:type="character">
    <w:name w:val="WW8Num43z1"/>
    <w:qFormat/>
    <w:rPr>
      <w:rFonts w:ascii="Courier New" w:cs="Courier New" w:hAnsi="Courier New"/>
    </w:rPr>
  </w:style>
  <w:style w:styleId="WW8Num43z2" w:type="character">
    <w:name w:val="WW8Num43z2"/>
    <w:qFormat/>
    <w:rPr>
      <w:rFonts w:ascii="Wingdings" w:cs="Wingdings" w:hAnsi="Wingdings"/>
    </w:rPr>
  </w:style>
  <w:style w:styleId="WW8Num44z0" w:type="character">
    <w:name w:val="WW8Num44z0"/>
    <w:qFormat/>
    <w:rPr/>
  </w:style>
  <w:style w:styleId="WW8Num45z0" w:type="character">
    <w:name w:val="WW8Num45z0"/>
    <w:qFormat/>
    <w:rPr>
      <w:b/>
    </w:rPr>
  </w:style>
  <w:style w:styleId="WW8Num46z0" w:type="character">
    <w:name w:val="WW8Num46z0"/>
    <w:qFormat/>
    <w:rPr>
      <w:b w:val="false"/>
    </w:rPr>
  </w:style>
  <w:style w:styleId="Fuentedeprrafopredeter" w:type="character">
    <w:name w:val="Fuente de párrafo predeter."/>
    <w:qFormat/>
    <w:rPr/>
  </w:style>
  <w:style w:styleId="Refdecomentario" w:type="character">
    <w:name w:val="Ref. de comentario"/>
    <w:qFormat/>
    <w:rPr>
      <w:sz w:val="16"/>
      <w:szCs w:val="16"/>
    </w:rPr>
  </w:style>
  <w:style w:styleId="estilo101" w:type="character">
    <w:name w:val="estilo101"/>
    <w:qFormat/>
    <w:rPr>
      <w:rFonts w:ascii="Georgia" w:cs="Georgia" w:hAnsi="Georgia"/>
    </w:rPr>
  </w:style>
  <w:style w:styleId="TextoindependienteCar" w:type="character">
    <w:name w:val="Texto independiente Car"/>
    <w:qFormat/>
    <w:rPr>
      <w:sz w:val="24"/>
      <w:szCs w:val="24"/>
      <w:lang w:val="es-MX"/>
    </w:rPr>
  </w:style>
  <w:style w:styleId="eacep1" w:type="character">
    <w:name w:val="eacep1"/>
    <w:qFormat/>
    <w:rPr>
      <w:color w:val="000000"/>
    </w:rPr>
  </w:style>
  <w:style w:styleId="Sangra3detindependienteCar" w:type="character">
    <w:name w:val="Sangría 3 de t. independiente Car"/>
    <w:qFormat/>
    <w:rPr>
      <w:sz w:val="16"/>
      <w:szCs w:val="16"/>
    </w:rPr>
  </w:style>
  <w:style w:styleId="SangradetextonormalCar" w:type="character">
    <w:name w:val="Sangría de texto normal Car"/>
    <w:qFormat/>
    <w:rPr>
      <w:rFonts w:ascii="Arial" w:cs="Arial" w:hAnsi="Arial"/>
      <w:bCs/>
      <w:sz w:val="22"/>
      <w:szCs w:val="22"/>
      <w:lang w:val="es-ES"/>
    </w:rPr>
  </w:style>
  <w:style w:styleId="Hyperlink" w:type="character">
    <w:name w:val="Hyperlink"/>
    <w:rPr>
      <w:color w:val="0563C1"/>
      <w:u w:val="single"/>
    </w:rPr>
  </w:style>
  <w:style w:styleId="Mencinsinresolver" w:type="character">
    <w:name w:val="Mención sin resolver"/>
    <w:qFormat/>
    <w:rPr>
      <w:color w:val="605E5C"/>
      <w:shd w:fill="E1DFDD" w:val="clear"/>
    </w:rPr>
  </w:style>
  <w:style w:styleId="Emphasis" w:type="character">
    <w:name w:val="Emphasis"/>
    <w:qFormat/>
    <w:rPr>
      <w:i/>
      <w:iCs/>
    </w:rPr>
  </w:style>
  <w:style w:styleId="Ttulo2Car" w:type="character">
    <w:name w:val="Título 2 Car"/>
    <w:qFormat/>
    <w:rPr>
      <w:rFonts w:ascii="Aptos Display" w:cs="Times New Roman" w:eastAsia="Times New Roman" w:hAnsi="Aptos Display"/>
      <w:b/>
      <w:bCs/>
      <w:i/>
      <w:iCs/>
      <w:sz w:val="28"/>
      <w:szCs w:val="28"/>
      <w:lang w:val="es-ES"/>
    </w:rPr>
  </w:style>
  <w:style w:styleId="Ttulo3Car" w:type="character">
    <w:name w:val="Título 3 Car"/>
    <w:qFormat/>
    <w:rPr>
      <w:rFonts w:ascii="Calibri Light" w:cs="Times New Roman" w:eastAsia="Times New Roman" w:hAnsi="Calibri Light"/>
      <w:b/>
      <w:bCs/>
      <w:sz w:val="26"/>
      <w:szCs w:val="26"/>
      <w:lang w:val="es-ES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Liberation Sans" w:eastAsia="Noto Sans CJK SC" w:hAnsi="Liberation Sans"/>
      <w:sz w:val="28"/>
      <w:szCs w:val="28"/>
    </w:rPr>
  </w:style>
  <w:style w:styleId="BodyText" w:type="paragraph">
    <w:name w:val="Body Text"/>
    <w:basedOn w:val="Normal"/>
    <w:pPr>
      <w:spacing w:after="120" w:before="0"/>
    </w:pPr>
    <w:rPr>
      <w:lang w:val="es-MX"/>
    </w:rPr>
  </w:style>
  <w:style w:styleId="List" w:type="paragraph">
    <w:name w:val="List"/>
    <w:basedOn w:val="BodyText"/>
    <w:pPr/>
    <w:rPr>
      <w:rFonts w:cs="Liberation San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Liberation San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Liberation Sans"/>
    </w:rPr>
  </w:style>
  <w:style w:styleId="HeaderandFooter" w:type="paragraph">
    <w:name w:val="Header and Footer"/>
    <w:basedOn w:val="Normal"/>
    <w:qFormat/>
    <w:pPr>
      <w:suppressLineNumbers/>
      <w:tabs>
        <w:tab w:pos="708" w:val="clear"/>
        <w:tab w:leader="none" w:pos="4819" w:val="center"/>
        <w:tab w:leader="none" w:pos="9638" w:val="right"/>
      </w:tabs>
    </w:pPr>
    <w:rPr/>
  </w:style>
  <w:style w:styleId="Header" w:type="paragraph">
    <w:name w:val="header"/>
    <w:basedOn w:val="Normal"/>
    <w:pPr>
      <w:tabs>
        <w:tab w:pos="708" w:val="clear"/>
        <w:tab w:leader="none" w:pos="4252" w:val="center"/>
        <w:tab w:leader="none" w:pos="8504" w:val="right"/>
      </w:tabs>
    </w:pPr>
    <w:rPr/>
  </w:style>
  <w:style w:styleId="Footer" w:type="paragraph">
    <w:name w:val="footer"/>
    <w:basedOn w:val="Normal"/>
    <w:pPr>
      <w:tabs>
        <w:tab w:pos="708" w:val="clear"/>
        <w:tab w:leader="none" w:pos="4252" w:val="center"/>
        <w:tab w:leader="none" w:pos="8504" w:val="right"/>
      </w:tabs>
    </w:pPr>
    <w:rPr/>
  </w:style>
  <w:style w:styleId="Textodeglobo" w:type="paragraph">
    <w:name w:val="Texto de globo"/>
    <w:basedOn w:val="Normal"/>
    <w:qFormat/>
    <w:pPr/>
    <w:rPr>
      <w:rFonts w:ascii="Tahoma" w:cs="Tahoma" w:hAnsi="Tahoma"/>
      <w:sz w:val="16"/>
      <w:szCs w:val="16"/>
    </w:rPr>
  </w:style>
  <w:style w:styleId="Textocomentario" w:type="paragraph">
    <w:name w:val="Texto comentario"/>
    <w:basedOn w:val="Normal"/>
    <w:qFormat/>
    <w:pPr/>
    <w:rPr>
      <w:sz w:val="20"/>
      <w:szCs w:val="20"/>
    </w:rPr>
  </w:style>
  <w:style w:styleId="Asuntodelcomentario" w:type="paragraph">
    <w:name w:val="Asunto del comentario"/>
    <w:basedOn w:val="Textocomentario"/>
    <w:next w:val="Textocomentario"/>
    <w:qFormat/>
    <w:pPr/>
    <w:rPr>
      <w:b/>
      <w:bCs/>
    </w:rPr>
  </w:style>
  <w:style w:styleId="Sangra3detindependiente" w:type="paragraph">
    <w:name w:val="Sangría 3 de t. independiente"/>
    <w:basedOn w:val="Normal"/>
    <w:qFormat/>
    <w:pPr>
      <w:spacing w:after="120" w:before="0"/>
      <w:ind w:end="0" w:hanging="0" w:start="283"/>
    </w:pPr>
    <w:rPr>
      <w:sz w:val="16"/>
      <w:szCs w:val="16"/>
      <w:lang w:val="en-US"/>
    </w:rPr>
  </w:style>
  <w:style w:styleId="Default" w:type="paragraph">
    <w:name w:val="Default"/>
    <w:qFormat/>
    <w:pPr>
      <w:widowControl/>
      <w:autoSpaceDE w:val="false"/>
      <w:bidi w:val="0"/>
    </w:pPr>
    <w:rPr>
      <w:rFonts w:ascii="Arial" w:cs="Arial" w:eastAsia="Times New Roman" w:hAnsi="Arial"/>
      <w:color w:val="000000"/>
      <w:sz w:val="24"/>
      <w:szCs w:val="24"/>
      <w:lang w:bidi="ar-SA" w:eastAsia="zh-CN" w:val="es-ES"/>
    </w:rPr>
  </w:style>
  <w:style w:styleId="Cuadrculaclara-nfasis3" w:type="paragraph">
    <w:name w:val="Cuadrícula clara - Énfasis 3"/>
    <w:basedOn w:val="Normal"/>
    <w:qFormat/>
    <w:pPr>
      <w:ind w:end="0" w:hanging="0" w:start="708"/>
    </w:pPr>
    <w:rPr/>
  </w:style>
  <w:style w:styleId="BodyTextIndent" w:type="paragraph">
    <w:name w:val="Body Text Indent"/>
    <w:basedOn w:val="Normal"/>
    <w:pPr>
      <w:spacing w:after="120" w:before="120"/>
      <w:ind w:end="0" w:hanging="180" w:start="180"/>
      <w:jc w:val="both"/>
    </w:pPr>
    <w:rPr>
      <w:rFonts w:ascii="Arial" w:cs="Arial" w:hAnsi="Arial"/>
      <w:bCs/>
      <w:sz w:val="22"/>
      <w:szCs w:val="22"/>
    </w:rPr>
  </w:style>
  <w:style w:styleId="Prrafodelista" w:type="paragraph">
    <w:name w:val="Párrafo de lista"/>
    <w:basedOn w:val="Normal"/>
    <w:qFormat/>
    <w:pPr>
      <w:ind w:end="0" w:hanging="0" w:start="708"/>
    </w:pPr>
    <w:rPr/>
  </w:style>
  <w:style w:styleId="Revisin" w:type="paragraph">
    <w:name w:val="Revisión"/>
    <w:qFormat/>
    <w:pPr>
      <w:widowControl/>
      <w:bidi w:val="0"/>
    </w:pPr>
    <w:rPr>
      <w:rFonts w:ascii="Times New Roman" w:cs="Times New Roman" w:eastAsia="Times New Roman" w:hAnsi="Times New Roman"/>
      <w:color w:val="auto"/>
      <w:sz w:val="24"/>
      <w:szCs w:val="24"/>
      <w:lang w:bidi="ar-SA" w:eastAsia="zh-CN" w:val="es-ES"/>
    </w:rPr>
  </w:style>
  <w:style w:styleId="NormalWeb" w:type="paragraph">
    <w:name w:val="Normal (Web)"/>
    <w:basedOn w:val="Normal"/>
    <w:qFormat/>
    <w:pPr/>
    <w:rPr/>
  </w:style>
  <w:style w:styleId="TableContents" w:type="paragraph">
    <w:name w:val="Table Contents"/>
    <w:basedOn w:val="Normal"/>
    <w:qFormat/>
    <w:pPr>
      <w:widowControl w:val="false"/>
      <w:suppressLineNumbers/>
    </w:pPr>
    <w:rPr/>
  </w:style>
  <w:style w:styleId="TableHeading" w:type="paragraph">
    <w:name w:val="Table Heading"/>
    <w:basedOn w:val="TableContents"/>
    <w:qFormat/>
    <w:pPr>
      <w:suppressLineNumbers/>
      <w:jc w:val="center"/>
    </w:pPr>
    <w:rPr>
      <w:b/>
      <w:bCs/>
    </w:rPr>
  </w:style>
  <w:style w:styleId="FrameContents" w:type="paragraph">
    <w:name w:val="Frame Contents"/>
    <w:basedOn w:val="Normal"/>
    <w:qFormat/>
    <w:pPr/>
    <w:rPr/>
  </w:style>
  <w:style w:styleId="WW8Num1" w:type="numbering">
    <w:name w:val="WW8Num1"/>
    <w:qFormat/>
  </w:style>
  <w:style w:styleId="WW8Num2" w:type="numbering">
    <w:name w:val="WW8Num2"/>
    <w:qFormat/>
  </w:style>
  <w:style w:styleId="WW8Num3" w:type="numbering">
    <w:name w:val="WW8Num3"/>
    <w:qFormat/>
  </w:style>
  <w:style w:styleId="WW8Num4" w:type="numbering">
    <w:name w:val="WW8Num4"/>
    <w:qFormat/>
  </w:style>
  <w:style w:styleId="WW8Num5" w:type="numbering">
    <w:name w:val="WW8Num5"/>
    <w:qFormat/>
  </w:style>
  <w:style w:styleId="WW8Num6" w:type="numbering">
    <w:name w:val="WW8Num6"/>
    <w:qFormat/>
  </w:style>
  <w:style w:styleId="WW8Num7" w:type="numbering">
    <w:name w:val="WW8Num7"/>
    <w:qFormat/>
  </w:style>
  <w:style w:styleId="WW8Num8" w:type="numbering">
    <w:name w:val="WW8Num8"/>
    <w:qFormat/>
  </w:style>
  <w:style w:styleId="WW8Num9" w:type="numbering">
    <w:name w:val="WW8Num9"/>
    <w:qFormat/>
  </w:style>
  <w:style w:styleId="WW8Num10" w:type="numbering">
    <w:name w:val="WW8Num10"/>
    <w:qFormat/>
  </w:style>
  <w:style w:styleId="WW8Num11" w:type="numbering">
    <w:name w:val="WW8Num11"/>
    <w:qFormat/>
  </w:style>
  <w:style w:styleId="WW8Num12" w:type="numbering">
    <w:name w:val="WW8Num12"/>
    <w:qFormat/>
  </w:style>
  <w:style w:styleId="WW8Num13" w:type="numbering">
    <w:name w:val="WW8Num13"/>
    <w:qFormat/>
  </w:style>
  <w:style w:styleId="WW8Num14" w:type="numbering">
    <w:name w:val="WW8Num14"/>
    <w:qFormat/>
  </w:style>
  <w:style w:styleId="WW8Num15" w:type="numbering">
    <w:name w:val="WW8Num15"/>
    <w:qFormat/>
  </w:style>
  <w:style w:styleId="WW8Num16" w:type="numbering">
    <w:name w:val="WW8Num16"/>
    <w:qFormat/>
  </w:style>
  <w:style w:styleId="WW8Num17" w:type="numbering">
    <w:name w:val="WW8Num17"/>
    <w:qFormat/>
  </w:style>
  <w:style w:styleId="WW8Num18" w:type="numbering">
    <w:name w:val="WW8Num18"/>
    <w:qFormat/>
  </w:style>
  <w:style w:styleId="WW8Num19" w:type="numbering">
    <w:name w:val="WW8Num19"/>
    <w:qFormat/>
  </w:style>
  <w:style w:styleId="WW8Num20" w:type="numbering">
    <w:name w:val="WW8Num20"/>
    <w:qFormat/>
  </w:style>
  <w:style w:styleId="WW8Num21" w:type="numbering">
    <w:name w:val="WW8Num21"/>
    <w:qFormat/>
  </w:style>
  <w:style w:styleId="WW8Num22" w:type="numbering">
    <w:name w:val="WW8Num22"/>
    <w:qFormat/>
  </w:style>
  <w:style w:styleId="WW8Num23" w:type="numbering">
    <w:name w:val="WW8Num23"/>
    <w:qFormat/>
  </w:style>
  <w:style w:styleId="WW8Num24" w:type="numbering">
    <w:name w:val="WW8Num24"/>
    <w:qFormat/>
  </w:style>
  <w:style w:styleId="WW8Num25" w:type="numbering">
    <w:name w:val="WW8Num25"/>
    <w:qFormat/>
  </w:style>
  <w:style w:styleId="WW8Num26" w:type="numbering">
    <w:name w:val="WW8Num26"/>
    <w:qFormat/>
  </w:style>
  <w:style w:styleId="WW8Num27" w:type="numbering">
    <w:name w:val="WW8Num27"/>
    <w:qFormat/>
  </w:style>
  <w:style w:styleId="WW8Num28" w:type="numbering">
    <w:name w:val="WW8Num28"/>
    <w:qFormat/>
  </w:style>
  <w:style w:styleId="WW8Num29" w:type="numbering">
    <w:name w:val="WW8Num29"/>
    <w:qFormat/>
  </w:style>
  <w:style w:styleId="WW8Num30" w:type="numbering">
    <w:name w:val="WW8Num30"/>
    <w:qFormat/>
  </w:style>
  <w:style w:styleId="WW8Num31" w:type="numbering">
    <w:name w:val="WW8Num31"/>
    <w:qFormat/>
  </w:style>
  <w:style w:styleId="WW8Num32" w:type="numbering">
    <w:name w:val="WW8Num32"/>
    <w:qFormat/>
  </w:style>
  <w:style w:styleId="WW8Num33" w:type="numbering">
    <w:name w:val="WW8Num33"/>
    <w:qFormat/>
  </w:style>
  <w:style w:styleId="WW8Num34" w:type="numbering">
    <w:name w:val="WW8Num34"/>
    <w:qFormat/>
  </w:style>
  <w:style w:styleId="WW8Num35" w:type="numbering">
    <w:name w:val="WW8Num35"/>
    <w:qFormat/>
  </w:style>
  <w:style w:styleId="WW8Num36" w:type="numbering">
    <w:name w:val="WW8Num36"/>
    <w:qFormat/>
  </w:style>
  <w:style w:styleId="WW8Num37" w:type="numbering">
    <w:name w:val="WW8Num37"/>
    <w:qFormat/>
  </w:style>
  <w:style w:styleId="WW8Num38" w:type="numbering">
    <w:name w:val="WW8Num38"/>
    <w:qFormat/>
  </w:style>
  <w:style w:styleId="WW8Num39" w:type="numbering">
    <w:name w:val="WW8Num39"/>
    <w:qFormat/>
  </w:style>
  <w:style w:styleId="WW8Num40" w:type="numbering">
    <w:name w:val="WW8Num40"/>
    <w:qFormat/>
  </w:style>
  <w:style w:styleId="WW8Num41" w:type="numbering">
    <w:name w:val="WW8Num41"/>
    <w:qFormat/>
  </w:style>
  <w:style w:styleId="WW8Num42" w:type="numbering">
    <w:name w:val="WW8Num42"/>
    <w:qFormat/>
  </w:style>
  <w:style w:styleId="WW8Num43" w:type="numbering">
    <w:name w:val="WW8Num43"/>
    <w:qFormat/>
  </w:style>
  <w:style w:styleId="WW8Num44" w:type="numbering">
    <w:name w:val="WW8Num44"/>
    <w:qFormat/>
  </w:style>
  <w:style w:styleId="WW8Num45" w:type="numbering">
    <w:name w:val="WW8Num45"/>
    <w:qFormat/>
  </w:style>
  <w:style w:styleId="WW8Num46" w:type="numbering">
    <w:name w:val="WW8Num46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0" Target="numbering.xml" /><Relationship Type="http://schemas.openxmlformats.org/officeDocument/2006/relationships/styles" Id="rId9" Target="styles.xml" /><Relationship Type="http://schemas.openxmlformats.org/officeDocument/2006/relationships/settings" Id="rId8" Target="settings.xml" /><Relationship Type="http://schemas.openxmlformats.org/officeDocument/2006/relationships/webSettings" Id="rId7" Target="webSettings.xml" /><Relationship Type="http://schemas.openxmlformats.org/officeDocument/2006/relationships/fontTable" Id="rId6" Target="fontTable.xml" /><Relationship Type="http://schemas.openxmlformats.org/officeDocument/2006/relationships/theme" Id="rId5" Target="theme/theme1.xml" /><Relationship Type="http://schemas.openxmlformats.org/officeDocument/2006/relationships/footnotes" Id="rId4" Target="footnotes.xml" /><Relationship Type="http://schemas.openxmlformats.org/officeDocument/2006/relationships/comments" Id="rId3" Target="comments.xml" /><Relationship Id="rId2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2026-06-24T16:30:12Z</dcterms:created>
  <dcterms:modified xsi:type="dcterms:W3CDTF">2026-06-24T16:30:12Z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