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-psea-18-apelaciones-del-pea"/>
    <w:p>
      <w:pPr>
        <w:pStyle w:val="Heading1"/>
      </w:pPr>
      <w:r>
        <w:t xml:space="preserve">P-PSEA-18: Apelaciones del PEA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P-PSEA-18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Procedimiento de gestion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Apelaciones del PEA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Preliminar - Revisar</w:t>
      </w:r>
      <w:r>
        <w:br/>
      </w:r>
      <w:r>
        <w:rPr>
          <w:b/>
          <w:bCs/>
        </w:rPr>
        <w:t xml:space="preserve">Clase:</w:t>
      </w:r>
      <w:r>
        <w:t xml:space="preserve"> </w:t>
      </w:r>
      <w:r>
        <w:t xml:space="preserve">Procedimiento activo segun mapa de navegacion SGC PEA</w:t>
      </w:r>
    </w:p>
    <w:p>
      <w:r>
        <w:pict>
          <v:rect style="width:0;height:1.5pt" o:hralign="center" o:hrstd="t" o:hr="t"/>
        </w:pict>
      </w:r>
    </w:p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la recepcion, registro, evaluacion, decision, comunicacion y cierre de apelaciones presentadas por participantes frente a decisiones del PEA, garantizando imparcialidad, confidencialidad, trazabilidad y separacion frente a quejas y no conformidades.</w:t>
      </w:r>
    </w:p>
    <w:bookmarkEnd w:id="11"/>
    <w:bookmarkStart w:id="12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procedimiento aplica a apelaciones formales presentadas por participantes contra:</w:t>
      </w:r>
    </w:p>
    <w:p>
      <w:pPr>
        <w:pStyle w:val="Compact"/>
        <w:numPr>
          <w:ilvl w:val="0"/>
          <w:numId w:val="1001"/>
        </w:numPr>
      </w:pPr>
      <w:r>
        <w:t xml:space="preserve">Resultados de desempeno comunicados por el PEA.</w:t>
      </w:r>
    </w:p>
    <w:p>
      <w:pPr>
        <w:pStyle w:val="Compact"/>
        <w:numPr>
          <w:ilvl w:val="0"/>
          <w:numId w:val="1001"/>
        </w:numPr>
      </w:pPr>
      <w:r>
        <w:t xml:space="preserve">Criterios de evaluacion aplicados en una ronda.</w:t>
      </w:r>
    </w:p>
    <w:p>
      <w:pPr>
        <w:pStyle w:val="Compact"/>
        <w:numPr>
          <w:ilvl w:val="0"/>
          <w:numId w:val="1001"/>
        </w:numPr>
      </w:pPr>
      <w:r>
        <w:t xml:space="preserve">Decisiones de aceptacion, rechazo, correccion o enmienda relacionadas con el esquema.</w:t>
      </w:r>
    </w:p>
    <w:p>
      <w:pPr>
        <w:pStyle w:val="Compact"/>
        <w:numPr>
          <w:ilvl w:val="0"/>
          <w:numId w:val="1001"/>
        </w:numPr>
      </w:pPr>
      <w:r>
        <w:t xml:space="preserve">Decisiones formales del PEA que afecten directamente al participante.</w:t>
      </w:r>
    </w:p>
    <w:p>
      <w:pPr>
        <w:pStyle w:val="FirstParagraph"/>
      </w:pPr>
      <w:r>
        <w:t xml:space="preserve">No aplica a:</w:t>
      </w:r>
    </w:p>
    <w:p>
      <w:pPr>
        <w:pStyle w:val="Compact"/>
        <w:numPr>
          <w:ilvl w:val="0"/>
          <w:numId w:val="1002"/>
        </w:numPr>
      </w:pPr>
      <w:r>
        <w:t xml:space="preserve">Quejas generales del PEA, gestionadas mediante</w:t>
      </w:r>
      <w:r>
        <w:t xml:space="preserve"> </w:t>
      </w:r>
      <w:r>
        <w:rPr>
          <w:rStyle w:val="VerbatimChar"/>
        </w:rPr>
        <w:t xml:space="preserve">P-PSEA-17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F-PSEA-14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Trabajo no conforme, no conformidades o acciones correctivas, gestionadas mediante</w:t>
      </w:r>
      <w:r>
        <w:t xml:space="preserve"> </w:t>
      </w:r>
      <w:r>
        <w:rPr>
          <w:rStyle w:val="VerbatimChar"/>
        </w:rPr>
        <w:t xml:space="preserve">P-PSEA-15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Solicitudes ordinarias de aclaracion o comunicaciones operativas, gestionadas mediante</w:t>
      </w:r>
      <w:r>
        <w:t xml:space="preserve"> </w:t>
      </w:r>
      <w:r>
        <w:rPr>
          <w:rStyle w:val="VerbatimChar"/>
        </w:rPr>
        <w:t xml:space="preserve">P-PSEA-05</w:t>
      </w:r>
      <w:r>
        <w:t xml:space="preserve">.</w:t>
      </w:r>
    </w:p>
    <w:bookmarkEnd w:id="12"/>
    <w:bookmarkStart w:id="13" w:name="responsables"/>
    <w:p>
      <w:pPr>
        <w:pStyle w:val="Heading2"/>
      </w:pPr>
      <w:r>
        <w:t xml:space="preserve">3. Responsables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Presentar la apelacion formal por el canal autorizado, incluyendo fundamento y evidencia disponible.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Recepcionista oficial del PEA</w:t>
            </w:r>
          </w:p>
        </w:tc>
        <w:tc>
          <w:tcPr/>
          <w:p>
            <w:pPr>
              <w:pStyle w:val="Compact"/>
            </w:pPr>
            <w:r>
              <w:t xml:space="preserve">Recibir la apelacion, confirmar recepcion y asegurar su registro.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calidad</w:t>
            </w:r>
          </w:p>
        </w:tc>
        <w:tc>
          <w:tcPr/>
          <w:p>
            <w:pPr>
              <w:pStyle w:val="Compact"/>
            </w:pPr>
            <w:r>
              <w:t xml:space="preserve">Verificar requisitos formales, coordinar la revision y custodiar la evidencia.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revisor</w:t>
            </w:r>
          </w:p>
        </w:tc>
        <w:tc>
          <w:tcPr/>
          <w:p>
            <w:pPr>
              <w:pStyle w:val="Compact"/>
            </w:pPr>
            <w:r>
              <w:t xml:space="preserve">Evaluar la apelacion con imparcialidad y documentar el analisis tecnico.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decision</w:t>
            </w:r>
          </w:p>
        </w:tc>
        <w:tc>
          <w:tcPr/>
          <w:p>
            <w:pPr>
              <w:pStyle w:val="Compact"/>
            </w:pPr>
            <w:r>
              <w:t xml:space="preserve">Emitir la decision final y autorizar la comunicacion al apelante.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direccion del PEA</w:t>
            </w:r>
          </w:p>
        </w:tc>
        <w:tc>
          <w:tcPr/>
          <w:p>
            <w:pPr>
              <w:pStyle w:val="Compact"/>
            </w:pPr>
            <w:r>
              <w:t xml:space="preserve">Resolver conflictos de interes o situaciones que comprometan la imparcialidad del proceso.</w:t>
            </w:r>
          </w:p>
        </w:tc>
      </w:tr>
    </w:tbl>
    <w:bookmarkEnd w:id="13"/>
    <w:bookmarkStart w:id="20" w:name="desarrollo"/>
    <w:p>
      <w:pPr>
        <w:pStyle w:val="Heading2"/>
      </w:pPr>
      <w:r>
        <w:t xml:space="preserve">4. Desarrollo</w:t>
      </w:r>
    </w:p>
    <w:bookmarkStart w:id="14" w:name="recepcion"/>
    <w:p>
      <w:pPr>
        <w:pStyle w:val="Heading3"/>
      </w:pPr>
      <w:r>
        <w:t xml:space="preserve">4.1 Recepcion</w:t>
      </w:r>
    </w:p>
    <w:p>
      <w:pPr>
        <w:pStyle w:val="FirstParagraph"/>
      </w:pPr>
      <w:r>
        <w:t xml:space="preserve">La apelacion debe recibirse por correo electronico institucional u otro canal formal definido en</w:t>
      </w:r>
      <w:r>
        <w:t xml:space="preserve"> </w:t>
      </w:r>
      <w:r>
        <w:rPr>
          <w:rStyle w:val="VerbatimChar"/>
        </w:rPr>
        <w:t xml:space="preserve">P-PSEA-05</w:t>
      </w:r>
      <w:r>
        <w:t xml:space="preserve">. Al recibirla, el PEA debe registrar fecha, hora, remitente, decision apelada, ronda afectada y documentos soporte.</w:t>
      </w:r>
    </w:p>
    <w:bookmarkEnd w:id="14"/>
    <w:bookmarkStart w:id="15" w:name="validacion-formal"/>
    <w:p>
      <w:pPr>
        <w:pStyle w:val="Heading3"/>
      </w:pPr>
      <w:r>
        <w:t xml:space="preserve">4.2 Validacion formal</w:t>
      </w:r>
    </w:p>
    <w:p>
      <w:pPr>
        <w:pStyle w:val="FirstParagraph"/>
      </w:pPr>
      <w:r>
        <w:t xml:space="preserve">El responsable de calidad verifica que la apelacion:</w:t>
      </w:r>
    </w:p>
    <w:p>
      <w:pPr>
        <w:pStyle w:val="Compact"/>
        <w:numPr>
          <w:ilvl w:val="0"/>
          <w:numId w:val="1003"/>
        </w:numPr>
      </w:pPr>
      <w:r>
        <w:t xml:space="preserve">Identifique al participante y la ronda afectada.</w:t>
      </w:r>
    </w:p>
    <w:p>
      <w:pPr>
        <w:pStyle w:val="Compact"/>
        <w:numPr>
          <w:ilvl w:val="0"/>
          <w:numId w:val="1003"/>
        </w:numPr>
      </w:pPr>
      <w:r>
        <w:t xml:space="preserve">Indique la decision apelada.</w:t>
      </w:r>
    </w:p>
    <w:p>
      <w:pPr>
        <w:pStyle w:val="Compact"/>
        <w:numPr>
          <w:ilvl w:val="0"/>
          <w:numId w:val="1003"/>
        </w:numPr>
      </w:pPr>
      <w:r>
        <w:t xml:space="preserve">Presente fundamento tecnico o documental.</w:t>
      </w:r>
    </w:p>
    <w:p>
      <w:pPr>
        <w:pStyle w:val="Compact"/>
        <w:numPr>
          <w:ilvl w:val="0"/>
          <w:numId w:val="1003"/>
        </w:numPr>
      </w:pPr>
      <w:r>
        <w:t xml:space="preserve">Se reciba dentro del plazo definido por el PEA.</w:t>
      </w:r>
    </w:p>
    <w:p>
      <w:pPr>
        <w:pStyle w:val="Compact"/>
        <w:numPr>
          <w:ilvl w:val="0"/>
          <w:numId w:val="1003"/>
        </w:numPr>
      </w:pPr>
      <w:r>
        <w:t xml:space="preserve">Incluya evidencias disponibles, cuando aplique.</w:t>
      </w:r>
    </w:p>
    <w:p>
      <w:pPr>
        <w:pStyle w:val="FirstParagraph"/>
      </w:pPr>
      <w:r>
        <w:t xml:space="preserve">Si la solicitud no corresponde a una apelacion, debe redirigirse al procedimiento aplicable: queja, aclaracion, no conformidad o comunicacion ordinaria.</w:t>
      </w:r>
    </w:p>
    <w:bookmarkEnd w:id="15"/>
    <w:bookmarkStart w:id="16" w:name="conformacion-del-panel-revisor"/>
    <w:p>
      <w:pPr>
        <w:pStyle w:val="Heading3"/>
      </w:pPr>
      <w:r>
        <w:t xml:space="preserve">4.3 Conformacion del panel revisor</w:t>
      </w:r>
    </w:p>
    <w:p>
      <w:pPr>
        <w:pStyle w:val="FirstParagraph"/>
      </w:pPr>
      <w:r>
        <w:t xml:space="preserve">El panel revisor debe estar libre de conflicto de interes frente al participante y frente a la decision apelada. Cuando exista conflicto, el responsable de calidad debe documentarlo y solicitar designacion alternativa.</w:t>
      </w:r>
    </w:p>
    <w:bookmarkEnd w:id="16"/>
    <w:bookmarkStart w:id="17" w:name="evaluacion"/>
    <w:p>
      <w:pPr>
        <w:pStyle w:val="Heading3"/>
      </w:pPr>
      <w:r>
        <w:t xml:space="preserve">4.4 Evaluacion</w:t>
      </w:r>
    </w:p>
    <w:p>
      <w:pPr>
        <w:pStyle w:val="FirstParagraph"/>
      </w:pPr>
      <w:r>
        <w:t xml:space="preserve">El panel revisa la informacion disponible, incluyendo informe final, datos consolidados, criterios estadisticos, registros de ronda y comunicaciones asociadas. El analisis debe documentar la conclusion tecnica y la recomendacion de decision.</w:t>
      </w:r>
    </w:p>
    <w:bookmarkEnd w:id="17"/>
    <w:bookmarkStart w:id="18" w:name="decision-y-comunicacion"/>
    <w:p>
      <w:pPr>
        <w:pStyle w:val="Heading3"/>
      </w:pPr>
      <w:r>
        <w:t xml:space="preserve">4.5 Decision y comunicacion</w:t>
      </w:r>
    </w:p>
    <w:p>
      <w:pPr>
        <w:pStyle w:val="FirstParagraph"/>
      </w:pPr>
      <w:r>
        <w:t xml:space="preserve">La decision puede ser:</w:t>
      </w:r>
    </w:p>
    <w:p>
      <w:pPr>
        <w:pStyle w:val="Compact"/>
        <w:numPr>
          <w:ilvl w:val="0"/>
          <w:numId w:val="1004"/>
        </w:numPr>
      </w:pPr>
      <w:r>
        <w:t xml:space="preserve">Procedente.</w:t>
      </w:r>
    </w:p>
    <w:p>
      <w:pPr>
        <w:pStyle w:val="Compact"/>
        <w:numPr>
          <w:ilvl w:val="0"/>
          <w:numId w:val="1004"/>
        </w:numPr>
      </w:pPr>
      <w:r>
        <w:t xml:space="preserve">No procedente.</w:t>
      </w:r>
    </w:p>
    <w:p>
      <w:pPr>
        <w:pStyle w:val="Compact"/>
        <w:numPr>
          <w:ilvl w:val="0"/>
          <w:numId w:val="1004"/>
        </w:numPr>
      </w:pPr>
      <w:r>
        <w:t xml:space="preserve">Parcialmente procedente.</w:t>
      </w:r>
    </w:p>
    <w:p>
      <w:pPr>
        <w:pStyle w:val="FirstParagraph"/>
      </w:pPr>
      <w:r>
        <w:t xml:space="preserve">La respuesta al apelante debe emitirse por canal formal, incluir la decision fundamentada y registrar cualquier accion derivada, como correccion de informe, apertura de no conformidad o ajuste de comunicacion.</w:t>
      </w:r>
    </w:p>
    <w:bookmarkEnd w:id="18"/>
    <w:bookmarkStart w:id="19" w:name="cierre"/>
    <w:p>
      <w:pPr>
        <w:pStyle w:val="Heading3"/>
      </w:pPr>
      <w:r>
        <w:t xml:space="preserve">4.6 Cierre</w:t>
      </w:r>
    </w:p>
    <w:p>
      <w:pPr>
        <w:pStyle w:val="FirstParagraph"/>
      </w:pPr>
      <w:r>
        <w:t xml:space="preserve">La apelacion se cierra cuando:</w:t>
      </w:r>
    </w:p>
    <w:p>
      <w:pPr>
        <w:pStyle w:val="Compact"/>
        <w:numPr>
          <w:ilvl w:val="0"/>
          <w:numId w:val="1005"/>
        </w:numPr>
      </w:pPr>
      <w:r>
        <w:t xml:space="preserve">La decision fue emitida y comunicada.</w:t>
      </w:r>
    </w:p>
    <w:p>
      <w:pPr>
        <w:pStyle w:val="Compact"/>
        <w:numPr>
          <w:ilvl w:val="0"/>
          <w:numId w:val="1005"/>
        </w:numPr>
      </w:pPr>
      <w:r>
        <w:t xml:space="preserve">La evidencia quedo archivada.</w:t>
      </w:r>
    </w:p>
    <w:p>
      <w:pPr>
        <w:pStyle w:val="Compact"/>
        <w:numPr>
          <w:ilvl w:val="0"/>
          <w:numId w:val="1005"/>
        </w:numPr>
      </w:pPr>
      <w:r>
        <w:t xml:space="preserve">Las acciones derivadas fueron cerradas o transferidas al procedimiento correspondiente.</w:t>
      </w:r>
    </w:p>
    <w:p>
      <w:pPr>
        <w:pStyle w:val="Compact"/>
        <w:numPr>
          <w:ilvl w:val="0"/>
          <w:numId w:val="1005"/>
        </w:numPr>
      </w:pPr>
      <w:r>
        <w:t xml:space="preserve">No quedan respuestas pendientes que afecten la validez de la ronda.</w:t>
      </w:r>
    </w:p>
    <w:bookmarkEnd w:id="19"/>
    <w:bookmarkEnd w:id="20"/>
    <w:bookmarkStart w:id="21" w:name="registro-asociado"/>
    <w:p>
      <w:pPr>
        <w:pStyle w:val="Heading2"/>
      </w:pPr>
      <w:r>
        <w:t xml:space="preserve">5. Registro asociado</w:t>
      </w:r>
    </w:p>
    <w:p>
      <w:pPr>
        <w:pStyle w:val="FirstParagraph"/>
      </w:pPr>
      <w:r>
        <w:t xml:space="preserve">Las apelaciones se documentan en</w:t>
      </w:r>
      <w:r>
        <w:t xml:space="preserve"> </w:t>
      </w:r>
      <w:r>
        <w:rPr>
          <w:rStyle w:val="VerbatimChar"/>
        </w:rPr>
        <w:t xml:space="preserve">F-PSEA-15 - Registro de apelaciones</w:t>
      </w:r>
      <w:r>
        <w:t xml:space="preserve">.</w:t>
      </w:r>
    </w:p>
    <w:bookmarkEnd w:id="21"/>
    <w:bookmarkStart w:id="22" w:name="relaciones-documentales"/>
    <w:p>
      <w:pPr>
        <w:pStyle w:val="Heading2"/>
      </w:pPr>
      <w:r>
        <w:t xml:space="preserve">6. Relaciones documentales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  <w:tc>
          <w:tcPr/>
          <w:p>
            <w:pPr>
              <w:pStyle w:val="Compact"/>
            </w:pPr>
            <w:r>
              <w:t xml:space="preserve">Tipo de vinculo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F-PSEA-15</w:t>
            </w:r>
          </w:p>
        </w:tc>
        <w:tc>
          <w:tcPr/>
          <w:p>
            <w:pPr>
              <w:pStyle w:val="Compact"/>
            </w:pPr>
            <w:r>
              <w:t xml:space="preserve">Registro de apelaciones.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Comunicaciones oficiales del PEA.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Trabajo no conforme, no conformidades y acciones correctivas, cuando la apelacion derive en NC/CAPA.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P-PSEA-16</w:t>
            </w:r>
          </w:p>
        </w:tc>
        <w:tc>
          <w:tcPr/>
          <w:p>
            <w:pPr>
              <w:pStyle w:val="Compact"/>
            </w:pPr>
            <w:r>
              <w:t xml:space="preserve">Divulgacion y control de valores sensibles.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Quejas del PEA, para diferenciar tratamiento.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operativa interna del PEA.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 objeto de apelacion, cuando aplique.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Registro de queja o no conformidad, si la apelacion deriva en caso formal.</w:t>
            </w:r>
          </w:p>
        </w:tc>
        <w:tc>
          <w:tcPr/>
          <w:p>
            <w:pPr>
              <w:pStyle w:val="Compact"/>
            </w:pPr>
            <w:r>
              <w:t xml:space="preserve">Condicional</w:t>
            </w:r>
          </w:p>
        </w:tc>
      </w:tr>
    </w:tbl>
    <w:bookmarkEnd w:id="22"/>
    <w:bookmarkStart w:id="23" w:name="limites"/>
    <w:p>
      <w:pPr>
        <w:pStyle w:val="Heading2"/>
      </w:pPr>
      <w:r>
        <w:t xml:space="preserve">7. Limites</w:t>
      </w:r>
    </w:p>
    <w:p>
      <w:pPr>
        <w:pStyle w:val="Compact"/>
        <w:numPr>
          <w:ilvl w:val="0"/>
          <w:numId w:val="1006"/>
        </w:numPr>
      </w:pPr>
      <w:r>
        <w:t xml:space="preserve">Este procedimiento no trata quejas; las quejas se gestionan por</w:t>
      </w:r>
      <w:r>
        <w:t xml:space="preserve"> </w:t>
      </w:r>
      <w:r>
        <w:rPr>
          <w:rStyle w:val="VerbatimChar"/>
        </w:rPr>
        <w:t xml:space="preserve">P-PSEA-17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No reemplaza el procedimiento de trabajo no conforme ni CAPA.</w:t>
      </w:r>
    </w:p>
    <w:p>
      <w:pPr>
        <w:pStyle w:val="Compact"/>
        <w:numPr>
          <w:ilvl w:val="0"/>
          <w:numId w:val="1006"/>
        </w:numPr>
      </w:pPr>
      <w:r>
        <w:t xml:space="preserve">No modifica resultados sin evaluacion tecnica documentada.</w:t>
      </w:r>
    </w:p>
    <w:p>
      <w:pPr>
        <w:pStyle w:val="Compact"/>
        <w:numPr>
          <w:ilvl w:val="0"/>
          <w:numId w:val="1006"/>
        </w:numPr>
      </w:pPr>
      <w:r>
        <w:t xml:space="preserve">No autoriza divulgacion de informacion sensible de otros participantes.</w:t>
      </w:r>
    </w:p>
    <w:p>
      <w:pPr>
        <w:pStyle w:val="Compact"/>
        <w:numPr>
          <w:ilvl w:val="0"/>
          <w:numId w:val="1006"/>
        </w:numPr>
      </w:pPr>
      <w:r>
        <w:t xml:space="preserve">No corresponde a revision por la direccion; ese contenido fue retirado del alcance documental vigente del PEA.</w:t>
      </w:r>
    </w:p>
    <w:bookmarkEnd w:id="23"/>
    <w:bookmarkEnd w:id="24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P-PSEA-17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QUEJAS DEL PEA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2026-06-27T23:31:17Z</dcterms:created>
  <dcterms:modified xsi:type="dcterms:W3CDTF">2026-06-27T23:31:17Z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