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4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media/image2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91d6a75620f0fbc1e114a6a10ff237ecf972477"/>
    <w:p>
      <w:pPr>
        <w:pStyle w:val="Heading1"/>
      </w:pPr>
      <w:r>
        <w:t xml:space="preserve">I-PSEA-03: Instructivo de administracion de rondas en calaire-app</w:t>
      </w:r>
    </w:p>
    <w:p>
      <w:pPr>
        <w:pStyle w:val="FirstParagraph"/>
      </w:pPr>
      <w:r>
        <w:rPr>
          <w:b/>
          <w:bCs/>
        </w:rPr>
        <w:t xml:space="preserve">Codigo:</w:t>
      </w:r>
      <w:r>
        <w:t xml:space="preserve"> </w:t>
      </w:r>
      <w:r>
        <w:t xml:space="preserve">I-PSEA-03</w:t>
      </w:r>
      <w:r>
        <w:br/>
      </w:r>
      <w:r>
        <w:rPr>
          <w:b/>
          <w:bCs/>
        </w:rPr>
        <w:t xml:space="preserve">Tipo documental:</w:t>
      </w:r>
      <w:r>
        <w:t xml:space="preserve"> </w:t>
      </w:r>
      <w:r>
        <w:t xml:space="preserve">Instructivo</w:t>
      </w:r>
      <w:r>
        <w:br/>
      </w:r>
      <w:r>
        <w:rPr>
          <w:b/>
          <w:bCs/>
        </w:rPr>
        <w:t xml:space="preserve">Nombre:</w:t>
      </w:r>
      <w:r>
        <w:t xml:space="preserve"> </w:t>
      </w:r>
      <w:r>
        <w:t xml:space="preserve">Instructivo de administracion de rondas en calaire-app</w:t>
      </w:r>
      <w:r>
        <w:br/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Fecha:</w:t>
      </w:r>
      <w:r>
        <w:t xml:space="preserve"> </w:t>
      </w:r>
      <w:r>
        <w:t xml:space="preserve">2026-06-18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Activo</w:t>
      </w:r>
    </w:p>
    <w:p>
      <w:r>
        <w:pict>
          <v:rect style="width:0;height:1.5pt" o:hralign="center" o:hrstd="t" o:hr="t"/>
        </w:pict>
      </w:r>
    </w:p>
    <w:bookmarkStart w:id="19" w:name="X4a2c087040ad3684538016d7625d5480db581e6"/>
    <w:p>
      <w:pPr>
        <w:pStyle w:val="Heading2"/>
      </w:pPr>
      <w:r>
        <w:t xml:space="preserve">1. Objetivo</w:t>
      </w:r>
    </w:p>
    <w:p>
      <w:pPr>
        <w:pStyle w:val="FirstParagraph"/>
      </w:pPr>
      <w:r>
        <w:t xml:space="preserve">Explicar el uso interno de calaire-app para configurar, administrar y controlar rondas de ensayo de aptitud: calendario, cronograma, ficha digital de ronda, participantes, comunicaciones operativas, exportaciones y casos SGC cuando aplique.</w:t>
      </w:r>
    </w:p>
    <w:bookmarkEnd w:id="19"/>
    <w:bookmarkStart w:id="20" w:name="X8c49890cab2394ad6fc610767a1938515fcd0ca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Este instructivo aplica al personal autorizado que administra rondas en calaire-app.</w:t>
      </w:r>
    </w:p>
    <w:p>
      <w:pPr>
        <w:pStyle w:val="BodyText"/>
      </w:pPr>
      <w:r>
        <w:t xml:space="preserve">Incluye:</w:t>
      </w:r>
    </w:p>
    <w:p>
      <w:pPr>
        <w:pStyle w:val="Compact"/>
        <w:numPr>
          <w:ilvl w:val="0"/>
          <w:numId w:val="1001"/>
        </w:numPr>
      </w:pPr>
      <w:r>
        <w:t xml:space="preserve">Configuracion inicial de una ronda.</w:t>
      </w:r>
    </w:p>
    <w:p>
      <w:pPr>
        <w:pStyle w:val="Compact"/>
        <w:numPr>
          <w:ilvl w:val="0"/>
          <w:numId w:val="1001"/>
        </w:numPr>
      </w:pPr>
      <w:r>
        <w:t xml:space="preserve">Gestion de calendario global y cronograma detallado.</w:t>
      </w:r>
    </w:p>
    <w:p>
      <w:pPr>
        <w:pStyle w:val="Compact"/>
        <w:numPr>
          <w:ilvl w:val="0"/>
          <w:numId w:val="1001"/>
        </w:numPr>
      </w:pPr>
      <w:r>
        <w:t xml:space="preserve">Registro y gestion de participantes.</w:t>
      </w:r>
    </w:p>
    <w:p>
      <w:pPr>
        <w:pStyle w:val="Compact"/>
        <w:numPr>
          <w:ilvl w:val="0"/>
          <w:numId w:val="1001"/>
        </w:numPr>
      </w:pPr>
      <w:r>
        <w:t xml:space="preserve">Generacion y control de la ficha digital de ronda.</w:t>
      </w:r>
    </w:p>
    <w:p>
      <w:pPr>
        <w:pStyle w:val="Compact"/>
        <w:numPr>
          <w:ilvl w:val="0"/>
          <w:numId w:val="1001"/>
        </w:numPr>
      </w:pPr>
      <w:r>
        <w:t xml:space="preserve">Envio de comunicaciones operativas.</w:t>
      </w:r>
    </w:p>
    <w:p>
      <w:pPr>
        <w:pStyle w:val="Compact"/>
        <w:numPr>
          <w:ilvl w:val="0"/>
          <w:numId w:val="1001"/>
        </w:numPr>
      </w:pPr>
      <w:r>
        <w:t xml:space="preserve">Exportacion de datos hacia pt_app.</w:t>
      </w:r>
    </w:p>
    <w:p>
      <w:pPr>
        <w:pStyle w:val="Compact"/>
        <w:numPr>
          <w:ilvl w:val="0"/>
          <w:numId w:val="1001"/>
        </w:numPr>
      </w:pPr>
      <w:r>
        <w:t xml:space="preserve">Registro operativo de casos SGC de queja o NC, cuando aplique.</w:t>
      </w:r>
    </w:p>
    <w:p>
      <w:pPr>
        <w:pStyle w:val="FirstParagraph"/>
      </w:pPr>
      <w:r>
        <w:t xml:space="preserve">No incluye:</w:t>
      </w:r>
    </w:p>
    <w:p>
      <w:pPr>
        <w:pStyle w:val="Compact"/>
        <w:numPr>
          <w:ilvl w:val="0"/>
          <w:numId w:val="1002"/>
        </w:numPr>
      </w:pPr>
      <w:r>
        <w:t xml:space="preserve">Definicion de criterios tecnicos o estadisticos del PEA (P-PSEA-07).</w:t>
      </w:r>
    </w:p>
    <w:p>
      <w:pPr>
        <w:pStyle w:val="Compact"/>
        <w:numPr>
          <w:ilvl w:val="0"/>
          <w:numId w:val="1002"/>
        </w:numPr>
      </w:pPr>
      <w:r>
        <w:t xml:space="preserve">Procedimiento formal de planificacion de ronda (P-PSEA-04).</w:t>
      </w:r>
    </w:p>
    <w:p>
      <w:pPr>
        <w:pStyle w:val="Compact"/>
        <w:numPr>
          <w:ilvl w:val="0"/>
          <w:numId w:val="1002"/>
        </w:numPr>
      </w:pPr>
      <w:r>
        <w:t xml:space="preserve">Gestion formal de comunicaciones, quejas o NC/CAPA (P-PSEA-05, P-PSEA-17, P-PSEA-16).</w:t>
      </w:r>
    </w:p>
    <w:p>
      <w:pPr>
        <w:pStyle w:val="Compact"/>
        <w:numPr>
          <w:ilvl w:val="0"/>
          <w:numId w:val="1002"/>
        </w:numPr>
      </w:pPr>
      <w:r>
        <w:t xml:space="preserve">Uso del aplicativo por el participante (I-PSEA-02).</w:t>
      </w:r>
    </w:p>
    <w:p>
      <w:pPr>
        <w:pStyle w:val="Compact"/>
        <w:numPr>
          <w:ilvl w:val="0"/>
          <w:numId w:val="1002"/>
        </w:numPr>
      </w:pPr>
      <w:r>
        <w:t xml:space="preserve">Preprocesamiento o analisis en pt_app (I-PSEA-04, I-PSEA-05).</w:t>
      </w:r>
    </w:p>
    <w:bookmarkEnd w:id="20"/>
    <w:bookmarkStart w:id="21" w:name="X024d5e4a6c31f42b463060581bdd62f7d50bf23"/>
    <w:p>
      <w:pPr>
        <w:pStyle w:val="Heading2"/>
      </w:pPr>
      <w:r>
        <w:t xml:space="preserve">3. Responsabilidades y uso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Responsabilidad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Administrador de ronda</w:t>
            </w:r>
          </w:p>
        </w:tc>
        <w:tc>
          <w:tcPr/>
          <w:p>
            <w:pPr>
              <w:pStyle w:val="Compact"/>
            </w:pPr>
            <w:r>
              <w:t xml:space="preserve">Crear y configurar rondas, gestionar participantes y comunicaciones.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Coordinador de ronda</w:t>
            </w:r>
          </w:p>
        </w:tc>
        <w:tc>
          <w:tcPr/>
          <w:p>
            <w:pPr>
              <w:pStyle w:val="Compact"/>
            </w:pPr>
            <w:r>
              <w:t xml:space="preserve">Aprobar calendario, cronograma y ficha digital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datos</w:t>
            </w:r>
          </w:p>
        </w:tc>
        <w:tc>
          <w:tcPr/>
          <w:p>
            <w:pPr>
              <w:pStyle w:val="Compact"/>
            </w:pPr>
            <w:r>
              <w:t xml:space="preserve">Ejecutar exportaciones oficiales hacia pt_app y asegurar su trazabilidad.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Responsable de casos SGC</w:t>
            </w:r>
          </w:p>
        </w:tc>
        <w:tc>
          <w:tcPr/>
          <w:p>
            <w:pPr>
              <w:pStyle w:val="Compact"/>
            </w:pPr>
            <w:r>
              <w:t xml:space="preserve">Registrar y dar seguimiento a casos de queja o NC en calaire-app.</w:t>
            </w:r>
          </w:p>
        </w:tc>
      </w:tr>
    </w:tbl>
    <w:p>
      <w:pPr>
        <w:pStyle w:val="BodyText"/>
      </w:pPr>
      <w:r>
        <w:t xml:space="preserve">El personal autorizado usa calaire-app bajo lo definido en DG-PSEA-02, P-PSEA-04 y P-PSEA-05.</w:t>
      </w:r>
    </w:p>
    <w:bookmarkEnd w:id="21"/>
    <w:bookmarkStart w:id="22" w:name="Xde86dbd9d48f197219f07961cffe9365ba0c7a0"/>
    <w:p>
      <w:pPr>
        <w:pStyle w:val="Heading2"/>
      </w:pPr>
      <w:r>
        <w:t xml:space="preserve">4. Entradas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 / fuente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de ronda.</w:t>
            </w:r>
          </w:p>
        </w:tc>
      </w:tr>
    </w:tbl>
    <w:bookmarkEnd w:id="22"/>
    <w:bookmarkStart w:id="23" w:name="X2d819e391a0cea6658e5b0ff0a5ca388df2f7a5"/>
    <w:p>
      <w:pPr>
        <w:pStyle w:val="Heading2"/>
      </w:pPr>
      <w:r>
        <w:t xml:space="preserve">5. Salidas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Descripcion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F-PSEA-01</w:t>
            </w:r>
          </w:p>
        </w:tc>
        <w:tc>
          <w:tcPr/>
          <w:p>
            <w:pPr>
              <w:pStyle w:val="Compact"/>
            </w:pPr>
            <w:r>
              <w:t xml:space="preserve">Calendario global actualizado.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F-PSEA-02</w:t>
            </w:r>
          </w:p>
        </w:tc>
        <w:tc>
          <w:tcPr/>
          <w:p>
            <w:pPr>
              <w:pStyle w:val="Compact"/>
            </w:pPr>
            <w:r>
              <w:t xml:space="preserve">Cronograma detallado actualizado.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Ficha basica de ronda 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Planificacion de ronda EA.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F-PSEA-09</w:t>
            </w:r>
          </w:p>
        </w:tc>
        <w:tc>
          <w:tcPr/>
          <w:p>
            <w:pPr>
              <w:pStyle w:val="Compact"/>
            </w:pPr>
            <w:r>
              <w:t xml:space="preserve">Exportacion de datos de participantes hacia pt_app.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F-PSEA-14</w:t>
            </w:r>
          </w:p>
        </w:tc>
        <w:tc>
          <w:tcPr/>
          <w:p>
            <w:pPr>
              <w:pStyle w:val="Compact"/>
            </w:pPr>
            <w:r>
              <w:t xml:space="preserve">Caso SGC de queja o NC, si aplica.</w:t>
            </w:r>
          </w:p>
        </w:tc>
      </w:tr>
    </w:tbl>
    <w:bookmarkEnd w:id="23"/>
    <w:bookmarkStart w:id="24" w:name="X191ba6c23870952d55b7dcbe742086454dd5b02"/>
    <w:p>
      <w:pPr>
        <w:pStyle w:val="Heading2"/>
      </w:pPr>
      <w:r>
        <w:t xml:space="preserve">6. Procedimiento resumido</w:t>
      </w:r>
    </w:p>
    <w:p>
      <w:pPr>
        <w:pStyle w:val="Compact"/>
        <w:numPr>
          <w:ilvl w:val="0"/>
          <w:numId w:val="1003"/>
        </w:numPr>
      </w:pPr>
      <w:r>
        <w:t xml:space="preserve">Crear la ronda en calaire-app con su codigo, periodo, analito(s) y niveles.</w:t>
      </w:r>
    </w:p>
    <w:p>
      <w:pPr>
        <w:pStyle w:val="Compact"/>
        <w:numPr>
          <w:ilvl w:val="0"/>
          <w:numId w:val="1003"/>
        </w:numPr>
      </w:pPr>
      <w:r>
        <w:t xml:space="preserve">Configurar el calendario global (F-PSEA-01) y el cronograma detallado (F-PSEA-02).</w:t>
      </w:r>
    </w:p>
    <w:p>
      <w:pPr>
        <w:pStyle w:val="Compact"/>
        <w:numPr>
          <w:ilvl w:val="0"/>
          <w:numId w:val="1003"/>
        </w:numPr>
      </w:pPr>
      <w:r>
        <w:t xml:space="preserve">Registrar o importar los laboratorios participantes y enviar invitaciones.</w:t>
      </w:r>
    </w:p>
    <w:p>
      <w:pPr>
        <w:pStyle w:val="Compact"/>
        <w:numPr>
          <w:ilvl w:val="0"/>
          <w:numId w:val="1003"/>
        </w:numPr>
      </w:pPr>
      <w:r>
        <w:t xml:space="preserve">Generar y controlar la ficha basica de ronda (F-PSEA-05) y la planificacion completa de ronda (F-PSEA-06).</w:t>
      </w:r>
    </w:p>
    <w:p>
      <w:pPr>
        <w:pStyle w:val="Compact"/>
        <w:numPr>
          <w:ilvl w:val="0"/>
          <w:numId w:val="1003"/>
        </w:numPr>
      </w:pPr>
      <w:r>
        <w:t xml:space="preserve">Enviar comunicaciones operativas segun el cronograma.</w:t>
      </w:r>
    </w:p>
    <w:p>
      <w:pPr>
        <w:pStyle w:val="Compact"/>
        <w:numPr>
          <w:ilvl w:val="0"/>
          <w:numId w:val="1003"/>
        </w:numPr>
      </w:pPr>
      <w:r>
        <w:t xml:space="preserve">Monitorear el registro de datos y equipos por parte de los participantes.</w:t>
      </w:r>
    </w:p>
    <w:p>
      <w:pPr>
        <w:pStyle w:val="Compact"/>
        <w:numPr>
          <w:ilvl w:val="0"/>
          <w:numId w:val="1003"/>
        </w:numPr>
      </w:pPr>
      <w:r>
        <w:t xml:space="preserve">Ejecutar la exportacion oficial de datos (F-PSEA-09) hacia pt_app.</w:t>
      </w:r>
    </w:p>
    <w:p>
      <w:pPr>
        <w:pStyle w:val="Compact"/>
        <w:numPr>
          <w:ilvl w:val="0"/>
          <w:numId w:val="1003"/>
        </w:numPr>
      </w:pPr>
      <w:r>
        <w:t xml:space="preserve">Registrar casos SGC de queja o NC cuando aplique.</w:t>
      </w:r>
    </w:p>
    <w:bookmarkEnd w:id="24"/>
    <w:bookmarkStart w:id="25" w:name="Xb003923d76783ae7be30d68723454bc3ebad8e6"/>
    <w:p>
      <w:pPr>
        <w:pStyle w:val="Heading2"/>
      </w:pPr>
      <w:r>
        <w:t xml:space="preserve">7. Campos minimos</w:t>
      </w:r>
    </w:p>
    <w:p>
      <w:pPr>
        <w:pStyle w:val="FirstParagraph"/>
      </w:pPr>
      <w:r>
        <w:t xml:space="preserve">La administracion de una ronda debe controlar como minimo:</w:t>
      </w:r>
    </w:p>
    <w:p>
      <w:pPr>
        <w:pStyle w:val="Compact"/>
        <w:numPr>
          <w:ilvl w:val="0"/>
          <w:numId w:val="1004"/>
        </w:numPr>
      </w:pPr>
      <w:r>
        <w:t xml:space="preserve">Codigo, nombre y version de la ronda.</w:t>
      </w:r>
    </w:p>
    <w:p>
      <w:pPr>
        <w:pStyle w:val="Compact"/>
        <w:numPr>
          <w:ilvl w:val="0"/>
          <w:numId w:val="1004"/>
        </w:numPr>
      </w:pPr>
      <w:r>
        <w:t xml:space="preserve">Periodo de ejecucion y fechas criticas.</w:t>
      </w:r>
    </w:p>
    <w:p>
      <w:pPr>
        <w:pStyle w:val="Compact"/>
        <w:numPr>
          <w:ilvl w:val="0"/>
          <w:numId w:val="1004"/>
        </w:numPr>
      </w:pPr>
      <w:r>
        <w:t xml:space="preserve">Analito(s) y niveles de concentracion.</w:t>
      </w:r>
    </w:p>
    <w:p>
      <w:pPr>
        <w:pStyle w:val="Compact"/>
        <w:numPr>
          <w:ilvl w:val="0"/>
          <w:numId w:val="1004"/>
        </w:numPr>
      </w:pPr>
      <w:r>
        <w:t xml:space="preserve">Lista de participantes y estado de confirmacion.</w:t>
      </w:r>
    </w:p>
    <w:p>
      <w:pPr>
        <w:pStyle w:val="Compact"/>
        <w:numPr>
          <w:ilvl w:val="0"/>
          <w:numId w:val="1004"/>
        </w:numPr>
      </w:pPr>
      <w:r>
        <w:t xml:space="preserve">Version del calendario global y cronograma detallado.</w:t>
      </w:r>
    </w:p>
    <w:p>
      <w:pPr>
        <w:pStyle w:val="Compact"/>
        <w:numPr>
          <w:ilvl w:val="0"/>
          <w:numId w:val="1004"/>
        </w:numPr>
      </w:pPr>
      <w:r>
        <w:t xml:space="preserve">Version de la ficha basica (F-PSEA-05) y de la planificacion completa de ronda (F-PSEA-06).</w:t>
      </w:r>
    </w:p>
    <w:p>
      <w:pPr>
        <w:pStyle w:val="Compact"/>
        <w:numPr>
          <w:ilvl w:val="0"/>
          <w:numId w:val="1004"/>
        </w:numPr>
      </w:pPr>
      <w:r>
        <w:t xml:space="preserve">Identificador de la exportacion oficial hacia pt_app (F-PSEA-09).</w:t>
      </w:r>
    </w:p>
    <w:p>
      <w:pPr>
        <w:pStyle w:val="Compact"/>
        <w:numPr>
          <w:ilvl w:val="0"/>
          <w:numId w:val="1004"/>
        </w:numPr>
      </w:pPr>
      <w:r>
        <w:t xml:space="preserve">Registro de casos SGC, si aplica.</w:t>
      </w:r>
    </w:p>
    <w:bookmarkEnd w:id="25"/>
    <w:bookmarkStart w:id="26" w:name="X720e07c65b95a118c1b15ff9b02180d8ebba93b"/>
    <w:p>
      <w:pPr>
        <w:pStyle w:val="Heading2"/>
      </w:pPr>
      <w:r>
        <w:t xml:space="preserve">8. Controles</w:t>
      </w:r>
    </w:p>
    <w:p>
      <w:pPr>
        <w:pStyle w:val="Compact"/>
        <w:numPr>
          <w:ilvl w:val="0"/>
          <w:numId w:val="1005"/>
        </w:numPr>
      </w:pPr>
      <w:r>
        <w:t xml:space="preserve">Los cambios en calendario o cronograma deben estar justificados y comunicados.</w:t>
      </w:r>
    </w:p>
    <w:p>
      <w:pPr>
        <w:pStyle w:val="Compact"/>
        <w:numPr>
          <w:ilvl w:val="0"/>
          <w:numId w:val="1005"/>
        </w:numPr>
      </w:pPr>
      <w:r>
        <w:t xml:space="preserve">La planificacion de ronda (F-PSEA-06) debe reflejar lo definido en P-PSEA-04; la ficha basica (F-PSEA-05) resume esa planificacion.</w:t>
      </w:r>
    </w:p>
    <w:p>
      <w:pPr>
        <w:pStyle w:val="Compact"/>
        <w:numPr>
          <w:ilvl w:val="0"/>
          <w:numId w:val="1005"/>
        </w:numPr>
      </w:pPr>
      <w:r>
        <w:t xml:space="preserve">La exportacion hacia pt_app debe ser la version oficial y conservarse como F-PSEA-09.</w:t>
      </w:r>
    </w:p>
    <w:p>
      <w:pPr>
        <w:pStyle w:val="Compact"/>
        <w:numPr>
          <w:ilvl w:val="0"/>
          <w:numId w:val="1005"/>
        </w:numPr>
      </w:pPr>
      <w:r>
        <w:t xml:space="preserve">Los casos SGC de queja deben alinearse con P-PSEA-17 y escalar a P-PSEA-16 cuando deriven en NC/CAPA.</w:t>
      </w:r>
    </w:p>
    <w:p>
      <w:pPr>
        <w:pStyle w:val="Compact"/>
        <w:numPr>
          <w:ilvl w:val="0"/>
          <w:numId w:val="1005"/>
        </w:numPr>
      </w:pPr>
      <w:r>
        <w:t xml:space="preserve">El acceso administrativo debe estar restringido a roles autorizados.</w:t>
      </w:r>
    </w:p>
    <w:bookmarkEnd w:id="26"/>
    <w:bookmarkStart w:id="27" w:name="X61543c4241691009725ce82599a8c576904e1e2"/>
    <w:p>
      <w:pPr>
        <w:pStyle w:val="Heading2"/>
      </w:pPr>
      <w:r>
        <w:t xml:space="preserve">9. Relaciones documentales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Codigo</w:t>
            </w:r>
          </w:p>
        </w:tc>
        <w:tc>
          <w:tcPr/>
          <w:p>
            <w:pPr>
              <w:pStyle w:val="Compact"/>
            </w:pPr>
            <w:r>
              <w:t xml:space="preserve">Relacion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DG-PSEA-02</w:t>
            </w:r>
          </w:p>
        </w:tc>
        <w:tc>
          <w:tcPr/>
          <w:p>
            <w:pPr>
              <w:pStyle w:val="Compact"/>
            </w:pPr>
            <w:r>
              <w:t xml:space="preserve">Documento general del aplicativo que se administra.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P-PSEA-04</w:t>
            </w:r>
          </w:p>
        </w:tc>
        <w:tc>
          <w:tcPr/>
          <w:p>
            <w:pPr>
              <w:pStyle w:val="Compact"/>
            </w:pPr>
            <w:r>
              <w:t xml:space="preserve">Procedimiento de planificacion de ronda.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P-PSEA-05</w:t>
            </w:r>
          </w:p>
        </w:tc>
        <w:tc>
          <w:tcPr/>
          <w:p>
            <w:pPr>
              <w:pStyle w:val="Compact"/>
            </w:pPr>
            <w:r>
              <w:t xml:space="preserve">Procedimiento de comunicaciones operativas.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P-PSEA-08</w:t>
            </w:r>
          </w:p>
        </w:tc>
        <w:tc>
          <w:tcPr/>
          <w:p>
            <w:pPr>
              <w:pStyle w:val="Compact"/>
            </w:pPr>
            <w:r>
              <w:t xml:space="preserve">Flujo tecnico que recibe exportaciones.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P-PSEA-17</w:t>
            </w:r>
          </w:p>
        </w:tc>
        <w:tc>
          <w:tcPr/>
          <w:p>
            <w:pPr>
              <w:pStyle w:val="Compact"/>
            </w:pPr>
            <w:r>
              <w:t xml:space="preserve">Procedimiento de quejas gestionadas como casos SGC.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F-PSEA-05</w:t>
            </w:r>
          </w:p>
        </w:tc>
        <w:tc>
          <w:tcPr/>
          <w:p>
            <w:pPr>
              <w:pStyle w:val="Compact"/>
            </w:pPr>
            <w:r>
              <w:t xml:space="preserve">Ficha basica de ronda generada o actualizada en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F-PSEA-06</w:t>
            </w:r>
          </w:p>
        </w:tc>
        <w:tc>
          <w:tcPr/>
          <w:p>
            <w:pPr>
              <w:pStyle w:val="Compact"/>
            </w:pPr>
            <w:r>
              <w:t xml:space="preserve">Planificacion completa de ronda generada o consolidada desde calaire-app.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I-PSEA-02</w:t>
            </w:r>
          </w:p>
        </w:tc>
        <w:tc>
          <w:tcPr/>
          <w:p>
            <w:pPr>
              <w:pStyle w:val="Compact"/>
            </w:pPr>
            <w:r>
              <w:t xml:space="preserve">Instructivo de uso del participante.</w:t>
            </w:r>
          </w:p>
        </w:tc>
      </w:tr>
    </w:tbl>
    <w:bookmarkEnd w:id="27"/>
    <w:bookmarkStart w:id="28" w:name="Xf0ccd6db4b8e462c41533400443db1591d7a749"/>
    <w:p>
      <w:pPr>
        <w:pStyle w:val="Heading2"/>
      </w:pPr>
      <w:r>
        <w:t xml:space="preserve">10. Limites</w:t>
      </w:r>
    </w:p>
    <w:p>
      <w:pPr>
        <w:pStyle w:val="Compact"/>
        <w:numPr>
          <w:ilvl w:val="0"/>
          <w:numId w:val="1006"/>
        </w:numPr>
      </w:pPr>
      <w:r>
        <w:t xml:space="preserve">No reemplaza P-PSEA-04; solo explica como ejecutar en el aplicativo lo definido por el procedimiento.</w:t>
      </w:r>
    </w:p>
    <w:p>
      <w:pPr>
        <w:pStyle w:val="Compact"/>
        <w:numPr>
          <w:ilvl w:val="0"/>
          <w:numId w:val="1006"/>
        </w:numPr>
      </w:pPr>
      <w:r>
        <w:t xml:space="preserve">No define criterios estadisticos ni analisis de resultados.</w:t>
      </w:r>
    </w:p>
    <w:p>
      <w:pPr>
        <w:pStyle w:val="Compact"/>
        <w:numPr>
          <w:ilvl w:val="0"/>
          <w:numId w:val="1006"/>
        </w:numPr>
      </w:pPr>
      <w:r>
        <w:t xml:space="preserve">No reemplaza I-PSEA-02, que cubre el uso del participante.</w:t>
      </w:r>
    </w:p>
    <w:p>
      <w:pPr>
        <w:pStyle w:val="Compact"/>
        <w:numPr>
          <w:ilvl w:val="0"/>
          <w:numId w:val="1006"/>
        </w:numPr>
      </w:pPr>
      <w:r>
        <w:t xml:space="preserve">No gobierna quejas o apelaciones; solo puede explicar el registro operativo de casos cuando aplique.</w:t>
      </w:r>
    </w:p>
    <w:p>
      <w:pPr>
        <w:pStyle w:val="Compact"/>
        <w:numPr>
          <w:ilvl w:val="0"/>
          <w:numId w:val="1006"/>
        </w:numPr>
      </w:pPr>
      <w:r>
        <w:t xml:space="preserve">No cubre el uso de pt_app; el analisis se documenta en I-PSEA-04 e I-PSEA-05.</w:t>
      </w:r>
    </w:p>
    <w:bookmarkEnd w:id="28"/>
    <w:bookmarkEnd w:id="29"/>
    <w:sectPr>
      <w:headerReference r:id="rId7" w:type="default"/>
      <w:headerReference r:id="rId8" w:type="first"/>
      <w:pgSz w:h="15840" w:orient="portrait" w:w="12240"/>
      <w:pgMar w:bottom="1418" w:footer="720" w:header="720" w:left="851" w:right="811" w:top="1418"/>
      <w:pgNumType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8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08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32535" cy="558800"/>
                <wp:effectExtent b="0" l="0" r="0" t="0"/>
                <wp:docPr id="1030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2535" cy="5588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DG-PSEA-01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DOCUMENTO GENERAL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2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893.999999999998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214"/>
      <w:gridCol w:w="5618"/>
      <w:gridCol w:w="3062"/>
      <w:tblGridChange w:id="0">
        <w:tblGrid>
          <w:gridCol w:w="2214"/>
          <w:gridCol w:w="5618"/>
          <w:gridCol w:w="3062"/>
        </w:tblGrid>
      </w:tblGridChange>
    </w:tblGrid>
    <w:tr>
      <w:trPr>
        <w:cantSplit w:val="1"/>
        <w:trHeight w:val="182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258570" cy="533400"/>
                <wp:effectExtent b="0" l="0" r="0" t="0"/>
                <wp:docPr descr="Escudo PowerPoint" id="1029" name="image2.png"/>
                <a:graphic>
                  <a:graphicData uri="http://schemas.openxmlformats.org/drawingml/2006/picture">
                    <pic:pic>
                      <pic:nvPicPr>
                        <pic:cNvPr descr="Escudo PowerPoint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857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M-GCM-01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6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MANUAL DE CALIDAD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TrueTypeFonts w:val="1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="http://schemas.microsoft.com/office/tasks/2019/documenttasks" xmlns:a="http://schemas.openxmlformats.org/drawingml/2006/main" xmlns:c="http://schemas.openxmlformats.org/drawingml/2006/chart" xmlns:cr="http://schemas.microsoft.com/office/comments/2020/reactions" xmlns:dgm="http://schemas.openxmlformats.org/drawingml/2006/diagram" xmlns:lc="http://schemas.openxmlformats.org/drawingml/2006/lockedCanvas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ne="http://schemas.microsoft.com/office/word/2006/wordml" xmlns:wp="http://schemas.openxmlformats.org/drawingml/2006/wordprocessingDrawing" xmlns:wpg="http://schemas.microsoft.com/office/word/2010/wordprocessingGroup" xmlns:wps="http://schemas.microsoft.com/office/word/2010/wordprocessingShape">
  <w:docDefaults>
    <w:rPrDefault>
      <w:rPr>
        <w:rFonts w:ascii="Tahoma" w:cs="Tahoma" w:eastAsia="Tahoma" w:hAnsi="Tahoma"/>
        <w:sz w:val="24"/>
        <w:szCs w:val="24"/>
        <w:lang w:val="es"/>
      </w:rPr>
    </w:rPrDefault>
    <w:pPrDefault>
      <w:pPr/>
    </w:pPrDefault>
  </w:docDefaults>
  <w:style w:default="1" w:styleId="TableNormal" w:type="table">
    <w:name w:val="TableNormal"/>
    <w:tblPr>
      <w:tblCellMar>
        <w:top w:type="dxa" w:w="100.0"/>
        <w:left w:type="dxa" w:w="100.0"/>
        <w:bottom w:type="dxa" w:w="100.0"/>
        <w:right w:type="dxa" w:w="100.0"/>
      </w:tblCellMar>
    </w:tblPr>
  </w:style>
  <w:style w:default="1" w:styleId="Normal" w:type="paragraph">
    <w:name w:val="normal"/>
  </w:style>
  <w:style w:styleId="Heading1" w:type="paragraph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styleId="Heading2" w:type="paragraph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styleId="Heading3" w:type="paragraph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styleId="Heading4" w:type="paragraph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styleId="Heading5" w:type="paragraph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styleId="Heading6" w:type="paragraph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styleId="Title" w:type="paragraph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styleId="Título1" w:type="paragraph">
    <w:name w:val="Título 1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Título2" w:type="paragraph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1"/>
    </w:pPr>
    <w:rPr>
      <w:rFonts w:ascii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3" w:type="paragraph">
    <w:name w:val="Título 3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2"/>
    </w:pPr>
    <w:rPr>
      <w:rFonts w:ascii="Cambria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zh-TW" w:val="und"/>
    </w:rPr>
  </w:style>
  <w:style w:styleId="Título4" w:type="paragraph">
    <w:name w:val="Título 4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firstLineChars="-1" w:leftChars="-1" w:rightChars="0"/>
      <w:textDirection w:val="btLr"/>
      <w:textAlignment w:val="top"/>
      <w:outlineLvl w:val="3"/>
    </w:pPr>
    <w:rPr>
      <w:rFonts w:ascii="Times New Roman" w:hAnsi="Times New Roman"/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und"/>
    </w:rPr>
  </w:style>
  <w:style w:styleId="Título5" w:type="paragraph">
    <w:name w:val="Título 5"/>
    <w:basedOn w:val="Normal"/>
    <w:next w:val="Normal"/>
    <w:autoRedefine w:val="0"/>
    <w:hidden w:val="0"/>
    <w:qFormat w:val="0"/>
    <w:pPr>
      <w:keepNext w:val="1"/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4"/>
    </w:pPr>
    <w:rPr>
      <w:rFonts w:ascii="Arial" w:cs="Arial" w:eastAsia="Times New Roman" w:hAnsi="Arial"/>
      <w:b w:val="1"/>
      <w:color w:val="000080"/>
      <w:w w:val="100"/>
      <w:position w:val="-1"/>
      <w:sz w:val="20"/>
      <w:szCs w:val="24"/>
      <w:effect w:val="none"/>
      <w:vertAlign w:val="baseline"/>
      <w:cs w:val="0"/>
      <w:em w:val="none"/>
      <w:lang w:bidi="ar-SA" w:eastAsia="zh-TW" w:val="es-ES"/>
    </w:rPr>
  </w:style>
  <w:style w:styleId="Título6" w:type="paragraph">
    <w:name w:val="Título 6"/>
    <w:basedOn w:val="Normal"/>
    <w:next w:val="Normal"/>
    <w:autoRedefine w:val="0"/>
    <w:hidden w:val="0"/>
    <w:qFormat w:val="0"/>
    <w:pPr>
      <w:keepNext w:val="1"/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5"/>
    </w:pPr>
    <w:rPr>
      <w:rFonts w:ascii="Arial" w:cs="Arial" w:eastAsia="Times New Roman" w:hAnsi="Arial"/>
      <w:i w:val="1"/>
      <w:color w:val="00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ítulo9" w:type="paragraph">
    <w:name w:val="Título 9"/>
    <w:basedOn w:val="Normal"/>
    <w:next w:val="Normal"/>
    <w:autoRedefine w:val="0"/>
    <w:hidden w:val="0"/>
    <w:qFormat w:val="0"/>
    <w:pPr>
      <w:tabs>
        <w:tab w:leader="none" w:pos="1800" w:val="num"/>
      </w:tabs>
      <w:suppressAutoHyphens w:val="0"/>
      <w:spacing w:after="60" w:before="240" w:line="1" w:lineRule="atLeast"/>
      <w:ind w:firstLineChars="-1" w:hanging="1800" w:left="1800" w:leftChars="-1" w:rightChars="0"/>
      <w:textDirection w:val="btLr"/>
      <w:textAlignment w:val="top"/>
      <w:outlineLvl w:val="8"/>
    </w:pPr>
    <w:rPr>
      <w:rFonts w:ascii="Arial" w:eastAsia="Times New Roman" w:hAnsi="Arial"/>
      <w:b w:val="1"/>
      <w:i w:val="1"/>
      <w:w w:val="100"/>
      <w:position w:val="-1"/>
      <w:sz w:val="18"/>
      <w:szCs w:val="20"/>
      <w:effect w:val="none"/>
      <w:vertAlign w:val="baseline"/>
      <w:cs w:val="0"/>
      <w:em w:val="none"/>
      <w:lang w:bidi="ar-SA" w:eastAsia="zh-TW" w:val="und"/>
    </w:rPr>
  </w:style>
  <w:style w:styleId="Fuentedepárrafopredeter." w:type="character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styleId="Tablanormal" w:type="table">
    <w:name w:val="Tabla normal"/>
    <w:next w:val="Tablanormal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type="dxa" w:w="0.0"/>
      <w:tblCellMar>
        <w:top w:type="dxa" w:w="0.0"/>
        <w:left w:type="dxa" w:w="108.0"/>
        <w:bottom w:type="dxa" w:w="0.0"/>
        <w:right w:type="dxa" w:w="108.0"/>
      </w:tblCellMar>
    </w:tblPr>
  </w:style>
  <w:style w:styleId="Sinlista" w:type="numbering">
    <w:name w:val="Sin lista"/>
    <w:next w:val="Sinlista"/>
    <w:autoRedefine w:val="0"/>
    <w:hidden w:val="0"/>
    <w:qFormat w:val="1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Título,Puesto,Título1,Puesto1,Título11,Puesto11,Título111,Puesto111,Título1111,Puesto1111,Título11111" w:type="paragraph">
    <w:name w:val="Título,Puesto,Título1,Puesto1,Título11,Puesto11,Título111,Puesto111,Título1111,Puesto1111,Título11111"/>
    <w:basedOn w:val="Normal"/>
    <w:next w:val="Título,Puesto,Título1,Puesto1,Título11,Puesto11,Título111,Puesto111,Título1111,Puesto1111,Título11111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CO"/>
    </w:rPr>
  </w:style>
  <w:style w:styleId="Textoindependiente" w:type="paragraph">
    <w:name w:val="Texto independiente"/>
    <w:basedOn w:val="Normal"/>
    <w:next w:val="Textoindependiente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Arial" w:cs="Arial" w:eastAsia="Times New Roman" w:hAnsi="Arial"/>
      <w:b w:val="1"/>
      <w:w w:val="100"/>
      <w:position w:val="-1"/>
      <w:sz w:val="23"/>
      <w:szCs w:val="24"/>
      <w:effect w:val="none"/>
      <w:vertAlign w:val="baseline"/>
      <w:cs w:val="0"/>
      <w:em w:val="none"/>
      <w:lang w:bidi="ar-SA" w:eastAsia="zh-TW" w:val="es-ES"/>
    </w:rPr>
  </w:style>
  <w:style w:styleId="Textoennegrita" w:type="character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styleId="Encabezado" w:type="paragraph">
    <w:name w:val="Encabezado"/>
    <w:basedOn w:val="Normal"/>
    <w:next w:val="Encabezado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2" w:type="paragraph">
    <w:name w:val="Texto independiente 2"/>
    <w:basedOn w:val="Normal"/>
    <w:next w:val="Textoindependiente2"/>
    <w:autoRedefine w:val="0"/>
    <w:hidden w:val="0"/>
    <w:qFormat w:val="0"/>
    <w:pPr>
      <w:widowControl w:val="0"/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eastAsia="Times New Roman" w:hAnsi="Arial"/>
      <w:w w:val="100"/>
      <w:position w:val="-1"/>
      <w:sz w:val="18"/>
      <w:szCs w:val="24"/>
      <w:effect w:val="none"/>
      <w:vertAlign w:val="baseline"/>
      <w:cs w:val="0"/>
      <w:em w:val="none"/>
      <w:lang w:bidi="ar-SA" w:eastAsia="zh-TW" w:val="es-ES"/>
    </w:rPr>
  </w:style>
  <w:style w:styleId="Piedepágina" w:type="paragraph">
    <w:name w:val="Pie de página"/>
    <w:basedOn w:val="Normal"/>
    <w:next w:val="Piedepágin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ablaconcuadrícula" w:type="table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DC1" w:type="paragraph">
    <w:name w:val="TDC 1"/>
    <w:basedOn w:val="Normal"/>
    <w:next w:val="Normal"/>
    <w:autoRedefine w:val="0"/>
    <w:hidden w:val="0"/>
    <w:qFormat w:val="0"/>
    <w:pPr>
      <w:tabs>
        <w:tab w:leader="none" w:pos="480" w:val="left"/>
        <w:tab w:leader="none" w:pos="9360" w:val="left"/>
        <w:tab w:leader="dot" w:pos="10890" w:val="right"/>
      </w:tabs>
      <w:suppressAutoHyphens w:val="1"/>
      <w:spacing w:before="360" w:line="1" w:lineRule="atLeast"/>
      <w:ind w:firstLineChars="-1" w:leftChars="-1" w:right="-41" w:rightChars="0"/>
      <w:textDirection w:val="btLr"/>
      <w:textAlignment w:val="top"/>
      <w:outlineLvl w:val="0"/>
    </w:pPr>
    <w:rPr>
      <w:rFonts w:ascii="Cambria" w:hAnsi="Cambria"/>
      <w:b w:val="1"/>
      <w:bCs w:val="1"/>
      <w:caps w:val="1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Textoindependiente3" w:type="paragraph">
    <w:name w:val="Texto independiente 3"/>
    <w:basedOn w:val="Normal"/>
    <w:next w:val="Textoindependiente3"/>
    <w:autoRedefine w:val="0"/>
    <w:hidden w:val="0"/>
    <w:qFormat w:val="0"/>
    <w:pPr>
      <w:suppressAutoHyphens w:val="1"/>
      <w:spacing w:after="120"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Sangría2det.independiente" w:type="paragraph">
    <w:name w:val="Sangría 2 de t. independiente"/>
    <w:basedOn w:val="Normal"/>
    <w:next w:val="Sangría2det.independiente"/>
    <w:autoRedefine w:val="0"/>
    <w:hidden w:val="0"/>
    <w:qFormat w:val="0"/>
    <w:pPr>
      <w:suppressAutoHyphens w:val="1"/>
      <w:spacing w:after="120" w:line="480" w:lineRule="auto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Normal(Web)" w:type="paragraph">
    <w:name w:val="Normal (Web)"/>
    <w:basedOn w:val="Normal"/>
    <w:next w:val="Normal(Web)"/>
    <w:autoRedefine w:val="0"/>
    <w:hidden w:val="0"/>
    <w:qFormat w:val="0"/>
    <w:pPr>
      <w:suppressAutoHyphens w:val="1"/>
      <w:spacing w:after="100" w:before="100" w:line="1" w:lineRule="atLeast"/>
      <w:ind w:firstLineChars="-1" w:leftChars="-1" w:rightChars="0"/>
      <w:textDirection w:val="btLr"/>
      <w:textAlignment w:val="top"/>
      <w:outlineLvl w:val="0"/>
    </w:pPr>
    <w:rPr>
      <w:rFonts w:ascii="Arial Unicode MS" w:eastAsia="Arial Unicode MS" w:hAnsi="Arial Unicode MS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Epígrafe,Descripción,Epígrafe1,Descripción1,Epígrafe11,Descripción11,Epígrafe111,Descripción111,Epígrafe1111,Descripción1111,Epígrafe11111" w:type="paragraph">
    <w:name w:val="Epígrafe,Descripción,Epígrafe1,Descripción1,Epígrafe11,Descripción11,Epígrafe111,Descripción111,Epígrafe1111,Descripción1111,Epígrafe11111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bidi="ar-SA" w:eastAsia="zh-TW" w:val="es-ES"/>
    </w:rPr>
  </w:style>
  <w:style w:styleId="Númerodepágina" w:type="character">
    <w:name w:val="Número de página"/>
    <w:basedOn w:val="Fuentedepárrafopredeter."/>
    <w:next w:val="Númerodepágin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Listaactual1" w:type="numbering">
    <w:name w:val="Lista actual1"/>
    <w:next w:val="Listaactual1"/>
    <w:autoRedefine w:val="0"/>
    <w:hidden w:val="0"/>
    <w:qFormat w:val="0"/>
    <w:pPr>
      <w:numPr>
        <w:ilvl w:val="0"/>
        <w:numId w:val="1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1/1.1/1.1.1" w:type="numbering">
    <w:name w:val="1 / 1.1 / 1.1.1"/>
    <w:basedOn w:val="Sinlista"/>
    <w:next w:val="1/1.1/1.1.1"/>
    <w:autoRedefine w:val="0"/>
    <w:hidden w:val="0"/>
    <w:qFormat w:val="0"/>
    <w:pPr>
      <w:numPr>
        <w:ilvl w:val="0"/>
        <w:numId w:val="2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Listaactual2" w:type="numbering">
    <w:name w:val="Lista actual2"/>
    <w:next w:val="Listaactual2"/>
    <w:autoRedefine w:val="0"/>
    <w:hidden w:val="0"/>
    <w:qFormat w:val="0"/>
    <w:pPr>
      <w:numPr>
        <w:ilvl w:val="0"/>
        <w:numId w:val="3"/>
      </w:num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</w:style>
  <w:style w:styleId="Sangría3det.independiente" w:type="paragraph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Listavistosa-Énfasis11" w:type="paragraph">
    <w:name w:val="Lista vistosa - Énfasis 11"/>
    <w:basedOn w:val="Normal"/>
    <w:next w:val="Listavistosa-Énfasis11"/>
    <w:autoRedefine w:val="0"/>
    <w:hidden w:val="0"/>
    <w:qFormat w:val="0"/>
    <w:pPr>
      <w:suppressAutoHyphens w:val="1"/>
      <w:spacing w:after="200" w:line="276" w:lineRule="auto"/>
      <w:ind w:firstLineChars="-1" w:left="720" w:leftChars="-1" w:rightChars="0"/>
      <w:contextualSpacing w:val="1"/>
      <w:textDirection w:val="btLr"/>
      <w:textAlignment w:val="top"/>
      <w:outlineLvl w:val="0"/>
    </w:pPr>
    <w:rPr>
      <w:rFonts w:ascii="Calibri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zh-TW" w:val="es-CO"/>
    </w:rPr>
  </w:style>
  <w:style w:styleId="Sangríadetextonormal" w:type="paragraph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line="1" w:lineRule="atLeast"/>
      <w:ind w:firstLineChars="-1" w:left="283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SangríadetextonormalCar" w:type="character">
    <w:name w:val="Sangría de texto normal Car"/>
    <w:next w:val="Sangríadetextonormal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EncabezadoCar" w:type="character">
    <w:name w:val="Encabezado Car"/>
    <w:next w:val="Encabezad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styleId="Textodeglobo" w:type="paragraph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zh-TW" w:val="es-ES"/>
    </w:rPr>
  </w:style>
  <w:style w:styleId="TextodegloboCar" w:type="characte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eastAsia="zh-TW" w:val="es-ES"/>
    </w:rPr>
  </w:style>
  <w:style w:styleId="Ref.decomentario" w:type="character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styleId="Textocomentario" w:type="paragraph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comentarioCar" w:type="character">
    <w:name w:val="Texto comentario Car"/>
    <w:next w:val="Textocomentario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Hipervínculo" w:type="character">
    <w:name w:val="Hipervínculo"/>
    <w:next w:val="Hipervínculo"/>
    <w:autoRedefine w:val="0"/>
    <w:hidden w:val="0"/>
    <w:qFormat w:val="0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styleId="Asuntodelcomentario" w:type="paragraph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eastAsia="Times New Roman" w:hAnsi="Tahoma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AsuntodelcomentarioCar" w:type="character">
    <w:name w:val="Asunto del comentario Car"/>
    <w:next w:val="AsuntodelcomentarioCar"/>
    <w:autoRedefine w:val="0"/>
    <w:hidden w:val="0"/>
    <w:qFormat w:val="0"/>
    <w:rPr>
      <w:rFonts w:ascii="Tahoma" w:eastAsia="Times New Roman" w:hAnsi="Tahoma"/>
      <w:b w:val="1"/>
      <w:bCs w:val="1"/>
      <w:w w:val="100"/>
      <w:position w:val="-1"/>
      <w:effect w:val="none"/>
      <w:vertAlign w:val="baseline"/>
      <w:cs w:val="0"/>
      <w:em w:val="none"/>
      <w:lang w:eastAsia="zh-TW"/>
    </w:rPr>
  </w:style>
  <w:style w:styleId="Encabezadodetabladecontenido" w:type="paragraph">
    <w:name w:val="Encabezado de tabla de contenido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480" w:line="276" w:lineRule="auto"/>
      <w:ind w:firstLineChars="-1" w:leftChars="-1" w:rightChars="0"/>
      <w:textDirection w:val="btLr"/>
      <w:textAlignment w:val="top"/>
      <w:outlineLvl w:val="9"/>
    </w:pPr>
    <w:rPr>
      <w:rFonts w:ascii="Cambria" w:cs="Times New Roman" w:eastAsia="Times New Roman" w:hAnsi="Cambria"/>
      <w:b w:val="1"/>
      <w:bCs w:val="1"/>
      <w:color w:val="365f91"/>
      <w:w w:val="100"/>
      <w:position w:val="-1"/>
      <w:sz w:val="28"/>
      <w:szCs w:val="28"/>
      <w:effect w:val="none"/>
      <w:vertAlign w:val="baseline"/>
      <w:cs w:val="0"/>
      <w:em w:val="none"/>
      <w:lang w:bidi="ar-SA" w:eastAsia="zh-TW" w:val="es-ES"/>
    </w:rPr>
  </w:style>
  <w:style w:styleId="TDC2" w:type="paragraph">
    <w:name w:val="TDC 2"/>
    <w:basedOn w:val="Normal"/>
    <w:next w:val="Normal"/>
    <w:autoRedefine w:val="0"/>
    <w:hidden w:val="0"/>
    <w:qFormat w:val="0"/>
    <w:pPr>
      <w:tabs>
        <w:tab w:leader="none" w:pos="720" w:val="left"/>
        <w:tab w:leader="none" w:pos="10260" w:val="left"/>
        <w:tab w:leader="dot" w:pos="10929" w:val="right"/>
      </w:tabs>
      <w:suppressAutoHyphens w:val="1"/>
      <w:spacing w:line="1" w:lineRule="atLeast"/>
      <w:ind w:firstLineChars="-1" w:leftChars="-1" w:right="49" w:rightChars="0"/>
      <w:textDirection w:val="btLr"/>
      <w:textAlignment w:val="top"/>
      <w:outlineLvl w:val="0"/>
    </w:pPr>
    <w:rPr>
      <w:rFonts w:ascii="Calibri" w:hAnsi="Calibri"/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ítulo4Car" w:type="character">
    <w:name w:val="Título 4 Car"/>
    <w:next w:val="Título4Car"/>
    <w:autoRedefine w:val="0"/>
    <w:hidden w:val="0"/>
    <w:qFormat w:val="0"/>
    <w:rPr>
      <w:b w:val="1"/>
      <w:b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Car" w:type="character">
    <w:name w:val="Título Car"/>
    <w:next w:val="TítuloCar"/>
    <w:autoRedefine w:val="0"/>
    <w:hidden w:val="0"/>
    <w:qFormat w:val="0"/>
    <w:rPr>
      <w:b w:val="1"/>
      <w:w w:val="100"/>
      <w:position w:val="-1"/>
      <w:effect w:val="none"/>
      <w:vertAlign w:val="baseline"/>
      <w:cs w:val="0"/>
      <w:em w:val="none"/>
      <w:lang w:val="es-CO"/>
    </w:rPr>
  </w:style>
  <w:style w:styleId="Título2Car" w:type="character">
    <w:name w:val="Título 2 Car"/>
    <w:next w:val="Título2Car"/>
    <w:autoRedefine w:val="0"/>
    <w:hidden w:val="0"/>
    <w:qFormat w:val="0"/>
    <w:rPr>
      <w:rFonts w:ascii="Arial" w:cs="Arial" w:hAnsi="Arial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zh-TW"/>
    </w:rPr>
  </w:style>
  <w:style w:styleId="Título3Car" w:type="characte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zh-TW"/>
    </w:rPr>
  </w:style>
  <w:style w:styleId="Título9Car" w:type="character">
    <w:name w:val="Título 9 Car"/>
    <w:next w:val="Título9Car"/>
    <w:autoRedefine w:val="0"/>
    <w:hidden w:val="0"/>
    <w:qFormat w:val="0"/>
    <w:rPr>
      <w:rFonts w:ascii="Arial" w:eastAsia="Times New Roman" w:hAnsi="Arial"/>
      <w:b w:val="1"/>
      <w:i w:val="1"/>
      <w:w w:val="100"/>
      <w:position w:val="-1"/>
      <w:sz w:val="18"/>
      <w:effect w:val="none"/>
      <w:vertAlign w:val="baseline"/>
      <w:cs w:val="0"/>
      <w:em w:val="none"/>
      <w:lang w:eastAsia="ar-SA"/>
    </w:rPr>
  </w:style>
  <w:style w:styleId="WW-Textoindependiente2" w:type="paragraph">
    <w:name w:val="WW-Texto independiente 2"/>
    <w:basedOn w:val="Normal"/>
    <w:next w:val="WW-Textoindependiente2"/>
    <w:autoRedefine w:val="0"/>
    <w:hidden w:val="0"/>
    <w:qFormat w:val="0"/>
    <w:pPr>
      <w:suppressAutoHyphens w:val="0"/>
      <w:spacing w:after="120" w:before="120"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color w:val="ff00ff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WW-Textoindependiente3" w:type="paragraph">
    <w:name w:val="WW-Texto independiente 3"/>
    <w:basedOn w:val="Normal"/>
    <w:next w:val="WW-Textoindependiente3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Times New Roman" w:eastAsia="Times New Roman" w:hAnsi="Times New Roman"/>
      <w:b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s-ES"/>
    </w:rPr>
  </w:style>
  <w:style w:styleId="WW-BodyText2" w:type="paragraph">
    <w:name w:val="WW-Body Text 2"/>
    <w:basedOn w:val="Normal"/>
    <w:next w:val="WW-BodyText2"/>
    <w:autoRedefine w:val="0"/>
    <w:hidden w:val="0"/>
    <w:qFormat w:val="0"/>
    <w:pPr>
      <w:suppressAutoHyphens w:val="0"/>
      <w:spacing w:line="1" w:lineRule="atLeast"/>
      <w:ind w:firstLineChars="-1" w:leftChars="-1" w:rightChars="0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zh-TW" w:val="es-MX"/>
    </w:rPr>
  </w:style>
  <w:style w:styleId="Subtítulo" w:type="paragraph">
    <w:name w:val="Subtítulo"/>
    <w:basedOn w:val="Normal"/>
    <w:next w:val="Subtítulo"/>
    <w:autoRedefine w:val="0"/>
    <w:hidden w:val="0"/>
    <w:qFormat w:val="0"/>
    <w:pPr>
      <w:suppressAutoHyphens w:val="1"/>
      <w:spacing w:after="60" w:line="1" w:lineRule="atLeast"/>
      <w:ind w:firstLineChars="-1" w:leftChars="-1" w:rightChars="0"/>
      <w:jc w:val="center"/>
      <w:textDirection w:val="btLr"/>
      <w:textAlignment w:val="top"/>
      <w:outlineLvl w:val="1"/>
    </w:pPr>
    <w:rPr>
      <w:rFonts w:ascii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und"/>
    </w:rPr>
  </w:style>
  <w:style w:styleId="SubtítuloCar" w:type="character">
    <w:name w:val="Subtítulo Car"/>
    <w:next w:val="SubtítuloCar"/>
    <w:autoRedefine w:val="0"/>
    <w:hidden w:val="0"/>
    <w:qFormat w:val="0"/>
    <w:rPr>
      <w:rFonts w:ascii="Arial" w:cs="Arial" w:eastAsia="Times New Roman" w:hAnsi="Arial"/>
      <w:w w:val="100"/>
      <w:position w:val="-1"/>
      <w:sz w:val="24"/>
      <w:szCs w:val="24"/>
      <w:effect w:val="none"/>
      <w:vertAlign w:val="baseline"/>
      <w:cs w:val="0"/>
      <w:em w:val="none"/>
      <w:lang/>
    </w:rPr>
  </w:style>
  <w:style w:styleId="Contenidodelatabla" w:type="paragraph">
    <w:name w:val="Contenido de la tabla"/>
    <w:basedOn w:val="Normal"/>
    <w:next w:val="Contenidodelatabla"/>
    <w:autoRedefine w:val="0"/>
    <w:hidden w:val="0"/>
    <w:qFormat w:val="0"/>
    <w:pPr>
      <w:suppressAutoHyphens w:val="0"/>
      <w:overflowPunct w:val="0"/>
      <w:autoSpaceDE w:val="0"/>
      <w:spacing w:after="120" w:line="1" w:lineRule="atLeast"/>
      <w:ind w:firstLineChars="-1" w:leftChars="-1" w:rightChars="0"/>
      <w:textDirection w:val="btLr"/>
      <w:textAlignment w:val="baseline"/>
      <w:outlineLvl w:val="0"/>
    </w:pPr>
    <w:rPr>
      <w:rFonts w:ascii="Times New Roman" w:eastAsia="Times New Roman" w:hAnsi="Times New Roman"/>
      <w:w w:val="100"/>
      <w:position w:val="-1"/>
      <w:sz w:val="24"/>
      <w:szCs w:val="20"/>
      <w:effect w:val="none"/>
      <w:vertAlign w:val="baseline"/>
      <w:cs w:val="0"/>
      <w:em w:val="none"/>
      <w:lang w:bidi="ar-SA" w:eastAsia="zh-TW" w:val="en-US"/>
    </w:rPr>
  </w:style>
  <w:style w:styleId="xl64" w:type="paragraph">
    <w:name w:val="xl64"/>
    <w:basedOn w:val="Normal"/>
    <w:next w:val="xl64"/>
    <w:autoRedefine w:val="0"/>
    <w:hidden w:val="0"/>
    <w:qFormat w:val="0"/>
    <w:pPr>
      <w:suppressAutoHyphens w:val="0"/>
      <w:spacing w:after="280" w:before="280" w:line="1" w:lineRule="atLeast"/>
      <w:ind w:firstLineChars="-1" w:leftChars="-1" w:rightChars="0"/>
      <w:jc w:val="center"/>
      <w:textDirection w:val="btLr"/>
      <w:textAlignment w:val="top"/>
      <w:outlineLvl w:val="0"/>
    </w:pPr>
    <w:rPr>
      <w:rFonts w:ascii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CO"/>
    </w:rPr>
  </w:style>
  <w:style w:styleId="TDC3" w:type="paragraph">
    <w:name w:val="TDC 3"/>
    <w:basedOn w:val="Normal"/>
    <w:next w:val="Normal"/>
    <w:autoRedefine w:val="0"/>
    <w:hidden w:val="0"/>
    <w:qFormat w:val="1"/>
    <w:pPr>
      <w:tabs>
        <w:tab w:leader="none" w:pos="960" w:val="left"/>
        <w:tab w:leader="dot" w:pos="9360" w:val="right"/>
      </w:tabs>
      <w:suppressAutoHyphens w:val="1"/>
      <w:spacing w:line="1" w:lineRule="atLeast"/>
      <w:ind w:firstLineChars="-1" w:left="2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Hipervínculovisitado" w:type="character">
    <w:name w:val="Hipervínculo visitado"/>
    <w:next w:val="Hipervínculovisitado"/>
    <w:autoRedefine w:val="0"/>
    <w:hidden w:val="0"/>
    <w:qFormat w:val="0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styleId="Título1Car" w:type="character">
    <w:name w:val="Título 1 Car"/>
    <w:next w:val="Título1Car"/>
    <w:autoRedefine w:val="0"/>
    <w:hidden w:val="0"/>
    <w:qFormat w:val="0"/>
    <w:rPr>
      <w:rFonts w:ascii="Arial" w:cs="Arial" w:eastAsia="Times New Roman" w:hAnsi="Arial"/>
      <w:b w:val="1"/>
      <w:w w:val="100"/>
      <w:position w:val="-1"/>
      <w:sz w:val="18"/>
      <w:szCs w:val="24"/>
      <w:effect w:val="none"/>
      <w:vertAlign w:val="baseline"/>
      <w:cs w:val="0"/>
      <w:em w:val="none"/>
      <w:lang w:val="es-ES"/>
    </w:rPr>
  </w:style>
  <w:style w:styleId="Textonotaalfinal" w:type="paragraph">
    <w:name w:val="Texto nota al final"/>
    <w:basedOn w:val="Normal"/>
    <w:next w:val="Textonotaalfinal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und"/>
    </w:rPr>
  </w:style>
  <w:style w:styleId="TextonotaalfinalCar" w:type="character">
    <w:name w:val="Texto nota al final Car"/>
    <w:next w:val="Textonotaalfinal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/>
    </w:rPr>
  </w:style>
  <w:style w:styleId="Ref.denotaalfinal" w:type="character">
    <w:name w:val="Ref. de nota al final"/>
    <w:next w:val="Ref.denotaalfinal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DC4" w:type="paragraph">
    <w:name w:val="TDC 4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4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5" w:type="paragraph">
    <w:name w:val="TDC 5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72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6" w:type="paragraph">
    <w:name w:val="TDC 6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96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7" w:type="paragraph">
    <w:name w:val="TDC 7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20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8" w:type="paragraph">
    <w:name w:val="TDC 8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44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DC9" w:type="paragraph">
    <w:name w:val="TDC 9"/>
    <w:basedOn w:val="Normal"/>
    <w:next w:val="Normal"/>
    <w:autoRedefine w:val="0"/>
    <w:hidden w:val="0"/>
    <w:qFormat w:val="0"/>
    <w:pPr>
      <w:suppressAutoHyphens w:val="1"/>
      <w:spacing w:line="1" w:lineRule="atLeast"/>
      <w:ind w:firstLineChars="-1" w:left="1680" w:leftChars="-1" w:rightChars="0"/>
      <w:textDirection w:val="btLr"/>
      <w:textAlignment w:val="top"/>
      <w:outlineLvl w:val="0"/>
    </w:pPr>
    <w:rPr>
      <w:rFonts w:ascii="Calibri" w:hAnsi="Calibri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Sombreadovistoso-Énfasis11" w:type="paragraph">
    <w:name w:val="Sombreado vistoso - Énfasis 11"/>
    <w:next w:val="Sombreadovistoso-Énfasis11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EpígrafeCar" w:type="character">
    <w:name w:val="Epígrafe Car"/>
    <w:next w:val="EpígrafeCar"/>
    <w:autoRedefine w:val="0"/>
    <w:hidden w:val="0"/>
    <w:qFormat w:val="0"/>
    <w:rPr>
      <w:b w:val="1"/>
      <w:bCs w:val="1"/>
      <w:w w:val="100"/>
      <w:position w:val="-1"/>
      <w:sz w:val="28"/>
      <w:szCs w:val="24"/>
      <w:effect w:val="none"/>
      <w:vertAlign w:val="baseline"/>
      <w:cs w:val="0"/>
      <w:em w:val="none"/>
      <w:lang w:eastAsia="es-ES" w:val="es-ES"/>
    </w:rPr>
  </w:style>
  <w:style w:styleId="Párrafodelista" w:type="paragraph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firstLineChars="-1" w:left="708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Default" w:type="paragraph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CO" w:val="es-CO"/>
    </w:rPr>
  </w:style>
  <w:style w:styleId="Revisión" w:type="paragraph">
    <w:name w:val="Revisión"/>
    <w:next w:val="Revisión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PiedepáginaCar" w:type="character">
    <w:name w:val="Pie de página Car"/>
    <w:next w:val="PiedepáginaCar"/>
    <w:autoRedefine w:val="0"/>
    <w:hidden w:val="0"/>
    <w:qFormat w:val="0"/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eastAsia="zh-TW" w:val="es-ES"/>
    </w:rPr>
  </w:style>
  <w:style w:styleId="Textonotapie" w:type="paragraph">
    <w:name w:val="Texto nota pie"/>
    <w:basedOn w:val="Normal"/>
    <w:next w:val="Textonotapie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0"/>
      <w:szCs w:val="20"/>
      <w:effect w:val="none"/>
      <w:vertAlign w:val="baseline"/>
      <w:cs w:val="0"/>
      <w:em w:val="none"/>
      <w:lang w:bidi="ar-SA" w:eastAsia="zh-TW" w:val="es-ES"/>
    </w:rPr>
  </w:style>
  <w:style w:styleId="TextonotapieCar" w:type="character">
    <w:name w:val="Texto nota pie Car"/>
    <w:next w:val="TextonotapieCar"/>
    <w:autoRedefine w:val="0"/>
    <w:hidden w:val="0"/>
    <w:qFormat w:val="0"/>
    <w:rPr>
      <w:rFonts w:ascii="Tahoma" w:hAnsi="Tahoma"/>
      <w:w w:val="100"/>
      <w:position w:val="-1"/>
      <w:effect w:val="none"/>
      <w:vertAlign w:val="baseline"/>
      <w:cs w:val="0"/>
      <w:em w:val="none"/>
      <w:lang w:eastAsia="zh-TW" w:val="es-ES"/>
    </w:rPr>
  </w:style>
  <w:style w:styleId="Ref.denotaalpie" w:type="character">
    <w:name w:val="Ref. de nota al pie"/>
    <w:next w:val="Ref.denotaalpie"/>
    <w:autoRedefine w:val="0"/>
    <w:hidden w:val="0"/>
    <w:qFormat w:val="0"/>
    <w:rPr>
      <w:w w:val="100"/>
      <w:position w:val="-1"/>
      <w:effect w:val="none"/>
      <w:vertAlign w:val="superscript"/>
      <w:cs w:val="0"/>
      <w:em w:val="none"/>
      <w:lang/>
    </w:rPr>
  </w:style>
  <w:style w:styleId="TítulodeTDC" w:type="paragraph">
    <w:name w:val="Título de TDC"/>
    <w:basedOn w:val="Título1"/>
    <w:next w:val="Normal"/>
    <w:autoRedefine w:val="0"/>
    <w:hidden w:val="0"/>
    <w:qFormat w:val="1"/>
    <w:pPr>
      <w:keepNext w:val="1"/>
      <w:keepLines w:val="1"/>
      <w:widowControl w:val="1"/>
      <w:suppressAutoHyphens w:val="1"/>
      <w:spacing w:before="240" w:line="259" w:lineRule="auto"/>
      <w:ind w:firstLineChars="-1" w:leftChars="-1" w:rightChars="0"/>
      <w:textDirection w:val="btLr"/>
      <w:textAlignment w:val="top"/>
      <w:outlineLvl w:val="9"/>
    </w:pPr>
    <w:rPr>
      <w:rFonts w:ascii="Calibri Light" w:cs="Times New Roman" w:eastAsia="Times New Roman" w:hAnsi="Calibri Light"/>
      <w:b w:val="0"/>
      <w:color w:val="2e74b5"/>
      <w:w w:val="100"/>
      <w:position w:val="-1"/>
      <w:sz w:val="32"/>
      <w:szCs w:val="32"/>
      <w:effect w:val="none"/>
      <w:vertAlign w:val="baseline"/>
      <w:cs w:val="0"/>
      <w:em w:val="none"/>
      <w:lang w:bidi="ar-SA" w:eastAsia="zh-TW" w:val="es-CO"/>
    </w:rPr>
  </w:style>
  <w:style w:styleId="Énfasis" w:type="character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styleId="Sinespaciado" w:type="paragraph">
    <w:name w:val="Sin espaciado"/>
    <w:next w:val="Sinespaciado"/>
    <w:autoRedefine w:val="0"/>
    <w:hidden w:val="0"/>
    <w:qFormat w:val="0"/>
    <w:pPr>
      <w:suppressAutoHyphens w:val="1"/>
      <w:spacing w:line="1" w:lineRule="atLeast"/>
      <w:ind w:firstLineChars="-1" w:leftChars="-1" w:rightChars="0"/>
      <w:textDirection w:val="btLr"/>
      <w:textAlignment w:val="top"/>
      <w:outlineLvl w:val="0"/>
    </w:pPr>
    <w:rPr>
      <w:rFonts w:ascii="Tahoma" w:hAnsi="Tahoma"/>
      <w:w w:val="100"/>
      <w:position w:val="-1"/>
      <w:sz w:val="24"/>
      <w:szCs w:val="24"/>
      <w:effect w:val="none"/>
      <w:vertAlign w:val="baseline"/>
      <w:cs w:val="0"/>
      <w:em w:val="none"/>
      <w:lang w:bidi="ar-SA" w:eastAsia="zh-TW" w:val="es-ES"/>
    </w:rPr>
  </w:style>
  <w:style w:styleId="il" w:type="character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Menciónsinresolver" w:type="charact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styleId="Númerodelínea" w:type="character">
    <w:name w:val="Número de línea"/>
    <w:next w:val="Númerodelínea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styleId="Subtitle" w:type="paragraph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styleId="Table1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2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3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styleId="Table4" w:type="table">
    <w:basedOn w:val="TableNormal"/>
    <w:tblPr>
      <w:tblStyleRowBandSize w:val="1"/>
      <w:tblStyleColBandSize w:val="1"/>
      <w:tblCellMar>
        <w:top w:type="dxa" w:w="0.0"/>
        <w:left w:type="dxa" w:w="108.0"/>
        <w:bottom w:type="dxa" w:w="0.0"/>
        <w:right w:type="dxa" w:w="108.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10" Target="header4.xml" Type="http://schemas.openxmlformats.org/officeDocument/2006/relationships/header" /><Relationship Id="rId9" Target="header3.xml" Type="http://schemas.openxmlformats.org/officeDocument/2006/relationships/header" /><Relationship Id="rId7" Target="header2.xml" Type="http://schemas.openxmlformats.org/officeDocument/2006/relationships/header" /><Relationship Id="rId8" Target="header1.xml" Type="http://schemas.openxmlformats.org/officeDocument/2006/relationships/header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2026-06-29T13:51:17Z</dcterms:created>
  <dcterms:modified xsi:type="dcterms:W3CDTF">2026-06-29T13:51:17Z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