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3231de93a0b5953a4b445594563557e6cd20f8"/>
    <w:p>
      <w:pPr>
        <w:pStyle w:val="Heading1"/>
      </w:pPr>
      <w:r>
        <w:t xml:space="preserve">I-PSEA-05: Instructivo de uso del modulo de analisis PT de pt_app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I-PSEA-05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Instructivo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Instructivo de uso del modulo de analisis PT de pt_app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Explicar el uso operativo del modulo de analisis de ensayos de aptitud en pt_app, incluyendo carga del dataset consolidado, seleccion de criterios estadisticos, ejecucion de calculos, revision de resultados de homogeneidad y estabilidad, generacion de graficos y exportacion del informe.</w:t>
      </w:r>
    </w:p>
    <w:bookmarkEnd w:id="11"/>
    <w:bookmarkStart w:id="1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instructivo aplica al analista PT responsable de ejecutar el analisis estadistico del ensayo de aptitud.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Carga del dataset oficial consolidado (F-PSEA-12).</w:t>
      </w:r>
    </w:p>
    <w:p>
      <w:pPr>
        <w:pStyle w:val="Compact"/>
        <w:numPr>
          <w:ilvl w:val="0"/>
          <w:numId w:val="1001"/>
        </w:numPr>
      </w:pPr>
      <w:r>
        <w:t xml:space="preserve">Carga de datos preprocesados de homogeneidad y estabilidad (F-PSEA-11A, F-PSEA-11B).</w:t>
      </w:r>
    </w:p>
    <w:p>
      <w:pPr>
        <w:pStyle w:val="Compact"/>
        <w:numPr>
          <w:ilvl w:val="0"/>
          <w:numId w:val="1001"/>
        </w:numPr>
      </w:pPr>
      <w:r>
        <w:t xml:space="preserve">Seleccion de criterios estadisticos de acuerdo con P-PSEA-07.</w:t>
      </w:r>
    </w:p>
    <w:p>
      <w:pPr>
        <w:pStyle w:val="Compact"/>
        <w:numPr>
          <w:ilvl w:val="0"/>
          <w:numId w:val="1001"/>
        </w:numPr>
      </w:pPr>
      <w:r>
        <w:t xml:space="preserve">Ejecucion de calculos de valor asignado, sigma_pt, incertidumbre y desempeno.</w:t>
      </w:r>
    </w:p>
    <w:p>
      <w:pPr>
        <w:pStyle w:val="Compact"/>
        <w:numPr>
          <w:ilvl w:val="0"/>
          <w:numId w:val="1001"/>
        </w:numPr>
      </w:pPr>
      <w:r>
        <w:t xml:space="preserve">Revision de resultados de homogeneidad (F-PSEA-11C) y estabilidad (F-PSEA-11D).</w:t>
      </w:r>
    </w:p>
    <w:p>
      <w:pPr>
        <w:pStyle w:val="Compact"/>
        <w:numPr>
          <w:ilvl w:val="0"/>
          <w:numId w:val="1001"/>
        </w:numPr>
      </w:pPr>
      <w:r>
        <w:t xml:space="preserve">Generacion de graficos y tablas de resultados.</w:t>
      </w:r>
    </w:p>
    <w:p>
      <w:pPr>
        <w:pStyle w:val="Compact"/>
        <w:numPr>
          <w:ilvl w:val="0"/>
          <w:numId w:val="1001"/>
        </w:numPr>
      </w:pPr>
      <w:r>
        <w:t xml:space="preserve">Exportacion del informe final de resultados (F-PSEA-13).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estadisticos (P-PSEA-07).</w:t>
      </w:r>
    </w:p>
    <w:p>
      <w:pPr>
        <w:pStyle w:val="Compact"/>
        <w:numPr>
          <w:ilvl w:val="0"/>
          <w:numId w:val="1002"/>
        </w:numPr>
      </w:pPr>
      <w:r>
        <w:t xml:space="preserve">Preprocesamiento de datos (I-PSEA-04).</w:t>
      </w:r>
    </w:p>
    <w:p>
      <w:pPr>
        <w:pStyle w:val="Compact"/>
        <w:numPr>
          <w:ilvl w:val="0"/>
          <w:numId w:val="1002"/>
        </w:numPr>
      </w:pPr>
      <w:r>
        <w:t xml:space="preserve">Procedimiento formal de generacion y emision del informe (P-PSEA-09).</w:t>
      </w:r>
    </w:p>
    <w:p>
      <w:pPr>
        <w:pStyle w:val="Compact"/>
        <w:numPr>
          <w:ilvl w:val="0"/>
          <w:numId w:val="1002"/>
        </w:numPr>
      </w:pPr>
      <w:r>
        <w:t xml:space="preserve">Gestion de quejas o apelaciones.</w:t>
      </w:r>
    </w:p>
    <w:bookmarkEnd w:id="12"/>
    <w:bookmarkStart w:id="13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el analisis estadistico siguiendo este instructivo y P-PSEA-07.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los criterios aplicados sean los correctos y que los resultados sean consistentes.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del informe</w:t>
            </w:r>
          </w:p>
        </w:tc>
        <w:tc>
          <w:tcPr/>
          <w:p>
            <w:pPr>
              <w:pStyle w:val="Compact"/>
            </w:pPr>
            <w:r>
              <w:t xml:space="preserve">Asegurar que F-PSEA-13 corresponda al analisis ejecutado y sea la version aprobada.</w:t>
            </w:r>
          </w:p>
        </w:tc>
      </w:tr>
    </w:tbl>
    <w:p>
      <w:pPr>
        <w:pStyle w:val="BodyText"/>
      </w:pPr>
      <w:r>
        <w:t xml:space="preserve">El modulo de analisis se ejecuta bajo lo definido en DG-PSEA-03, P-PSEA-07 y P-PSEA-09.</w:t>
      </w:r>
    </w:p>
    <w:bookmarkEnd w:id="13"/>
    <w:bookmarkStart w:id="14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referencia.</w:t>
            </w:r>
          </w:p>
        </w:tc>
      </w:tr>
    </w:tbl>
    <w:bookmarkEnd w:id="14"/>
    <w:bookmarkStart w:id="15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estabilidad.</w:t>
            </w:r>
          </w:p>
        </w:tc>
      </w:tr>
    </w:tbl>
    <w:bookmarkEnd w:id="15"/>
    <w:bookmarkStart w:id="16" w:name="procedimiento-resumido"/>
    <w:p>
      <w:pPr>
        <w:pStyle w:val="Heading2"/>
      </w:pPr>
      <w:r>
        <w:t xml:space="preserve">6. Procedimiento resumido</w:t>
      </w:r>
    </w:p>
    <w:p>
      <w:pPr>
        <w:pStyle w:val="Compact"/>
        <w:numPr>
          <w:ilvl w:val="0"/>
          <w:numId w:val="1003"/>
        </w:numPr>
      </w:pPr>
      <w:r>
        <w:t xml:space="preserve">Verificar que el dataset consolidado (F-PSEA-12) sea la version oficial aprobada.</w:t>
      </w:r>
    </w:p>
    <w:p>
      <w:pPr>
        <w:pStyle w:val="Compact"/>
        <w:numPr>
          <w:ilvl w:val="0"/>
          <w:numId w:val="1003"/>
        </w:numPr>
      </w:pPr>
      <w:r>
        <w:t xml:space="preserve">Cargar los datos preprocesados de homogeneidad (F-PSEA-11A) y estabilidad (F-PSEA-11B).</w:t>
      </w:r>
    </w:p>
    <w:p>
      <w:pPr>
        <w:pStyle w:val="Compact"/>
        <w:numPr>
          <w:ilvl w:val="0"/>
          <w:numId w:val="1003"/>
        </w:numPr>
      </w:pPr>
      <w:r>
        <w:t xml:space="preserve">Seleccionar el criterio estadistico definido en P-PSEA-07.</w:t>
      </w:r>
    </w:p>
    <w:p>
      <w:pPr>
        <w:pStyle w:val="Compact"/>
        <w:numPr>
          <w:ilvl w:val="0"/>
          <w:numId w:val="1003"/>
        </w:numPr>
      </w:pPr>
      <w:r>
        <w:t xml:space="preserve">Ejecutar los calculos de valor asignado, sigma_pt, incertidumbre y desempeno.</w:t>
      </w:r>
    </w:p>
    <w:p>
      <w:pPr>
        <w:pStyle w:val="Compact"/>
        <w:numPr>
          <w:ilvl w:val="0"/>
          <w:numId w:val="1003"/>
        </w:numPr>
      </w:pPr>
      <w:r>
        <w:t xml:space="preserve">Revisar los resultados de homogeneidad (F-PSEA-11C) y estabilidad (F-PSEA-11D).</w:t>
      </w:r>
    </w:p>
    <w:p>
      <w:pPr>
        <w:pStyle w:val="Compact"/>
        <w:numPr>
          <w:ilvl w:val="0"/>
          <w:numId w:val="1003"/>
        </w:numPr>
      </w:pPr>
      <w:r>
        <w:t xml:space="preserve">Generar graficos y tablas de resultados.</w:t>
      </w:r>
    </w:p>
    <w:p>
      <w:pPr>
        <w:pStyle w:val="Compact"/>
        <w:numPr>
          <w:ilvl w:val="0"/>
          <w:numId w:val="1003"/>
        </w:numPr>
      </w:pPr>
      <w:r>
        <w:t xml:space="preserve">Exportar el informe final de resultados (F-PSEA-13).</w:t>
      </w:r>
    </w:p>
    <w:p>
      <w:pPr>
        <w:pStyle w:val="Compact"/>
        <w:numPr>
          <w:ilvl w:val="0"/>
          <w:numId w:val="1003"/>
        </w:numPr>
      </w:pPr>
      <w:r>
        <w:t xml:space="preserve">Conservar trazabilidad entre el analisis, los criterios aplicados y el informe generado.</w:t>
      </w:r>
    </w:p>
    <w:bookmarkEnd w:id="16"/>
    <w:bookmarkStart w:id="17" w:name="campos-minimos"/>
    <w:p>
      <w:pPr>
        <w:pStyle w:val="Heading2"/>
      </w:pPr>
      <w:r>
        <w:t xml:space="preserve">7. Campos minimos</w:t>
      </w:r>
    </w:p>
    <w:p>
      <w:pPr>
        <w:pStyle w:val="FirstParagraph"/>
      </w:pPr>
      <w:r>
        <w:t xml:space="preserve">El analisis debe registrar como minimo:</w:t>
      </w:r>
    </w:p>
    <w:p>
      <w:pPr>
        <w:pStyle w:val="Compact"/>
        <w:numPr>
          <w:ilvl w:val="0"/>
          <w:numId w:val="1004"/>
        </w:numPr>
      </w:pPr>
      <w:r>
        <w:t xml:space="preserve">Identificador de ronda.</w:t>
      </w:r>
    </w:p>
    <w:p>
      <w:pPr>
        <w:pStyle w:val="Compact"/>
        <w:numPr>
          <w:ilvl w:val="0"/>
          <w:numId w:val="1004"/>
        </w:numPr>
      </w:pPr>
      <w:r>
        <w:t xml:space="preserve">Dataset consolidado utilizado (F-PSEA-12).</w:t>
      </w:r>
    </w:p>
    <w:p>
      <w:pPr>
        <w:pStyle w:val="Compact"/>
        <w:numPr>
          <w:ilvl w:val="0"/>
          <w:numId w:val="1004"/>
        </w:numPr>
      </w:pPr>
      <w:r>
        <w:t xml:space="preserve">Criterio estadistico aplicado (referencia a P-PSEA-07).</w:t>
      </w:r>
    </w:p>
    <w:p>
      <w:pPr>
        <w:pStyle w:val="Compact"/>
        <w:numPr>
          <w:ilvl w:val="0"/>
          <w:numId w:val="1004"/>
        </w:numPr>
      </w:pPr>
      <w:r>
        <w:t xml:space="preserve">Metodo de calculo del valor asignado y sigma_pt.</w:t>
      </w:r>
    </w:p>
    <w:p>
      <w:pPr>
        <w:pStyle w:val="Compact"/>
        <w:numPr>
          <w:ilvl w:val="0"/>
          <w:numId w:val="1004"/>
        </w:numPr>
      </w:pPr>
      <w:r>
        <w:t xml:space="preserve">Resultados de homogeneidad y estabilidad (F-PSEA-11C / F-PSEA-11D).</w:t>
      </w:r>
    </w:p>
    <w:p>
      <w:pPr>
        <w:pStyle w:val="Compact"/>
        <w:numPr>
          <w:ilvl w:val="0"/>
          <w:numId w:val="1004"/>
        </w:numPr>
      </w:pPr>
      <w:r>
        <w:t xml:space="preserve">Informe final generado (F-PSEA-13).</w:t>
      </w:r>
    </w:p>
    <w:p>
      <w:pPr>
        <w:pStyle w:val="Compact"/>
        <w:numPr>
          <w:ilvl w:val="0"/>
          <w:numId w:val="1004"/>
        </w:numPr>
      </w:pPr>
      <w:r>
        <w:t xml:space="preserve">Responsable del analisis y fecha de ejecucion.</w:t>
      </w:r>
    </w:p>
    <w:bookmarkEnd w:id="17"/>
    <w:bookmarkStart w:id="18" w:name="controles"/>
    <w:p>
      <w:pPr>
        <w:pStyle w:val="Heading2"/>
      </w:pPr>
      <w:r>
        <w:t xml:space="preserve">8. Controles</w:t>
      </w:r>
    </w:p>
    <w:p>
      <w:pPr>
        <w:pStyle w:val="Compact"/>
        <w:numPr>
          <w:ilvl w:val="0"/>
          <w:numId w:val="1005"/>
        </w:numPr>
      </w:pPr>
      <w:r>
        <w:t xml:space="preserve">El dataset consolidado (F-PSEA-12) debe ser la unica entrada del modulo de analisis.</w:t>
      </w:r>
    </w:p>
    <w:p>
      <w:pPr>
        <w:pStyle w:val="Compact"/>
        <w:numPr>
          <w:ilvl w:val="0"/>
          <w:numId w:val="1005"/>
        </w:numPr>
      </w:pPr>
      <w:r>
        <w:t xml:space="preserve">Los criterios estadisticos aplicados deben corresponder a P-PSEA-07.</w:t>
      </w:r>
    </w:p>
    <w:p>
      <w:pPr>
        <w:pStyle w:val="Compact"/>
        <w:numPr>
          <w:ilvl w:val="0"/>
          <w:numId w:val="1005"/>
        </w:numPr>
      </w:pPr>
      <w:r>
        <w:t xml:space="preserve">Los resultados de H/E deben ser revisados antes de emitir el informe final.</w:t>
      </w:r>
    </w:p>
    <w:p>
      <w:pPr>
        <w:pStyle w:val="Compact"/>
        <w:numPr>
          <w:ilvl w:val="0"/>
          <w:numId w:val="1005"/>
        </w:numPr>
      </w:pPr>
      <w:r>
        <w:t xml:space="preserve">La version del informe (F-PSEA-13) debe estar trazable al analisis ejecutado.</w:t>
      </w:r>
    </w:p>
    <w:p>
      <w:pPr>
        <w:pStyle w:val="Compact"/>
        <w:numPr>
          <w:ilvl w:val="0"/>
          <w:numId w:val="1005"/>
        </w:numPr>
      </w:pPr>
      <w:r>
        <w:t xml:space="preserve">Cualquier ajuste o exclusion de datos debe quedar documentado y justificado.</w:t>
      </w:r>
    </w:p>
    <w:bookmarkEnd w:id="18"/>
    <w:bookmarkStart w:id="19" w:name="relaciones-documentales"/>
    <w:p>
      <w:pPr>
        <w:pStyle w:val="Heading2"/>
      </w:pPr>
      <w:r>
        <w:t xml:space="preserve">9.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que gobierna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que contextualiza el paso.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Procedimiento de generacion del informe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que alimenta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preprocesador.</w:t>
            </w:r>
          </w:p>
        </w:tc>
      </w:tr>
    </w:tbl>
    <w:bookmarkEnd w:id="19"/>
    <w:bookmarkStart w:id="20" w:name="limites"/>
    <w:p>
      <w:pPr>
        <w:pStyle w:val="Heading2"/>
      </w:pPr>
      <w:r>
        <w:t xml:space="preserve">10. Limites</w:t>
      </w:r>
    </w:p>
    <w:p>
      <w:pPr>
        <w:pStyle w:val="Compact"/>
        <w:numPr>
          <w:ilvl w:val="0"/>
          <w:numId w:val="1006"/>
        </w:numPr>
      </w:pPr>
      <w:r>
        <w:t xml:space="preserve">No reemplaza P-PSEA-07; solo explica como operar la herramienta.</w:t>
      </w:r>
    </w:p>
    <w:p>
      <w:pPr>
        <w:pStyle w:val="Compact"/>
        <w:numPr>
          <w:ilvl w:val="0"/>
          <w:numId w:val="1006"/>
        </w:numPr>
      </w:pPr>
      <w:r>
        <w:t xml:space="preserve">No reemplaza P-PSEA-09; complementa la parte operativa de generacion del informe.</w:t>
      </w:r>
    </w:p>
    <w:p>
      <w:pPr>
        <w:pStyle w:val="Compact"/>
        <w:numPr>
          <w:ilvl w:val="0"/>
          <w:numId w:val="1006"/>
        </w:numPr>
      </w:pPr>
      <w:r>
        <w:t xml:space="preserve">No define que es un outlier, como se calcula el valor asignado ni que es sigma_pt.</w:t>
      </w:r>
    </w:p>
    <w:p>
      <w:pPr>
        <w:pStyle w:val="Compact"/>
        <w:numPr>
          <w:ilvl w:val="0"/>
          <w:numId w:val="1006"/>
        </w:numPr>
      </w:pPr>
      <w:r>
        <w:t xml:space="preserve">No es un procedimiento de control de calidad.</w:t>
      </w:r>
    </w:p>
    <w:p>
      <w:pPr>
        <w:pStyle w:val="Compact"/>
        <w:numPr>
          <w:ilvl w:val="0"/>
          <w:numId w:val="1006"/>
        </w:numPr>
      </w:pPr>
      <w:r>
        <w:t xml:space="preserve">No describe el preprocesamiento; eso se cubre en I-PSEA-04.</w:t>
      </w:r>
    </w:p>
    <w:bookmarkEnd w:id="20"/>
    <w:bookmarkEnd w:id="21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drawing>
              <wp:inline distT="0" distB="0" distL="0" distR="0">
                <wp:extent cx="1257935" cy="533400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9" t="-37" r="-19" b="148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935" cy="53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I-PSEA-05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INSTRUCTIVO MODULO ANALISIS PT_APP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WW8Num1z0" w:type="character">
    <w:name w:val="WW8Num1z0"/>
    <w:qFormat/>
    <w:rPr>
      <w:rFonts w:ascii="Symbol" w:cs="Symbol" w:hAnsi="Symbol"/>
    </w:rPr>
  </w:style>
  <w:style w:styleId="WW8Num1z1" w:type="character">
    <w:name w:val="WW8Num1z1"/>
    <w:qFormat/>
    <w:rPr>
      <w:rFonts w:ascii="Courier New" w:cs="Courier New" w:hAnsi="Courier New"/>
    </w:rPr>
  </w:style>
  <w:style w:styleId="WW8Num1z2" w:type="character">
    <w:name w:val="WW8Num1z2"/>
    <w:qFormat/>
    <w:rPr>
      <w:rFonts w:ascii="Wingdings" w:cs="Wingdings" w:hAnsi="Wingdings"/>
    </w:rPr>
  </w:style>
  <w:style w:styleId="WW8Num2z0" w:type="character">
    <w:name w:val="WW8Num2z0"/>
    <w:qFormat/>
    <w:rPr>
      <w:b/>
    </w:rPr>
  </w:style>
  <w:style w:styleId="WW8Num4z0" w:type="character">
    <w:name w:val="WW8Num4z0"/>
    <w:qFormat/>
    <w:rPr>
      <w:rFonts w:ascii="Symbol" w:cs="Symbol" w:hAnsi="Symbol"/>
    </w:rPr>
  </w:style>
  <w:style w:styleId="WW8Num4z1" w:type="character">
    <w:name w:val="WW8Num4z1"/>
    <w:qFormat/>
    <w:rPr>
      <w:rFonts w:ascii="Courier New" w:cs="Courier New" w:hAnsi="Courier New"/>
    </w:rPr>
  </w:style>
  <w:style w:styleId="WW8Num4z2" w:type="character">
    <w:name w:val="WW8Num4z2"/>
    <w:qFormat/>
    <w:rPr>
      <w:rFonts w:ascii="Wingdings" w:cs="Wingdings" w:hAnsi="Wingdings"/>
    </w:rPr>
  </w:style>
  <w:style w:styleId="WW8Num5z1" w:type="character">
    <w:name w:val="WW8Num5z1"/>
    <w:qFormat/>
    <w:rPr>
      <w:b w:val="false"/>
    </w:rPr>
  </w:style>
  <w:style w:styleId="WW8Num7z0" w:type="character">
    <w:name w:val="WW8Num7z0"/>
    <w:qFormat/>
    <w:rPr>
      <w:b w:val="false"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5" w:type="character">
    <w:name w:val="WW8Num8z5"/>
    <w:qFormat/>
    <w:rPr>
      <w:rFonts w:ascii="Wingdings" w:cs="Wingdings" w:hAnsi="Wingdings"/>
    </w:rPr>
  </w:style>
  <w:style w:styleId="WW8Num9z0" w:type="character">
    <w:name w:val="WW8Num9z0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9z3" w:type="character">
    <w:name w:val="WW8Num9z3"/>
    <w:qFormat/>
    <w:rPr>
      <w:rFonts w:ascii="Symbol" w:cs="Symbol" w:hAnsi="Symbol"/>
    </w:rPr>
  </w:style>
  <w:style w:styleId="WW8Num10z0" w:type="character">
    <w:name w:val="WW8Num10z0"/>
    <w:qFormat/>
    <w:rPr>
      <w:rFonts w:ascii="Symbol" w:cs="Symbol" w:hAnsi="Symbol"/>
    </w:rPr>
  </w:style>
  <w:style w:styleId="WW8Num10z1" w:type="character">
    <w:name w:val="WW8Num10z1"/>
    <w:qFormat/>
    <w:rPr>
      <w:rFonts w:ascii="Courier New" w:cs="Courier New" w:hAnsi="Courier New"/>
    </w:rPr>
  </w:style>
  <w:style w:styleId="WW8Num10z2" w:type="character">
    <w:name w:val="WW8Num10z2"/>
    <w:qFormat/>
    <w:rPr>
      <w:rFonts w:ascii="Wingdings" w:cs="Wingdings" w:hAnsi="Wingdings"/>
    </w:rPr>
  </w:style>
  <w:style w:styleId="WW8Num11z0" w:type="character">
    <w:name w:val="WW8Num11z0"/>
    <w:qFormat/>
    <w:rPr>
      <w:b/>
      <w:i w:val="false"/>
    </w:rPr>
  </w:style>
  <w:style w:styleId="WW8Num12z0" w:type="character">
    <w:name w:val="WW8Num12z0"/>
    <w:qFormat/>
    <w:rPr>
      <w:rFonts w:ascii="Symbol" w:cs="Symbol" w:hAnsi="Symbol"/>
    </w:rPr>
  </w:style>
  <w:style w:styleId="WW8Num12z1" w:type="character">
    <w:name w:val="WW8Num12z1"/>
    <w:qFormat/>
    <w:rPr>
      <w:rFonts w:ascii="Courier New" w:cs="Courier New" w:hAnsi="Courier New"/>
    </w:rPr>
  </w:style>
  <w:style w:styleId="WW8Num12z2" w:type="character">
    <w:name w:val="WW8Num12z2"/>
    <w:qFormat/>
    <w:rPr>
      <w:rFonts w:ascii="Wingdings" w:cs="Wingdings" w:hAnsi="Wingdings"/>
    </w:rPr>
  </w:style>
  <w:style w:styleId="WW8Num13z0" w:type="character">
    <w:name w:val="WW8Num13z0"/>
    <w:qFormat/>
    <w:rPr>
      <w:b w:val="false"/>
    </w:rPr>
  </w:style>
  <w:style w:styleId="WW8Num14z0" w:type="character">
    <w:name w:val="WW8Num14z0"/>
    <w:qFormat/>
    <w:rPr>
      <w:b/>
    </w:rPr>
  </w:style>
  <w:style w:styleId="WW8Num15z0" w:type="character">
    <w:name w:val="WW8Num15z0"/>
    <w:qFormat/>
    <w:rPr>
      <w:b/>
      <w:i w:val="false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9z0" w:type="character">
    <w:name w:val="WW8Num19z0"/>
    <w:qFormat/>
    <w:rPr>
      <w:b/>
      <w:i w:val="false"/>
    </w:rPr>
  </w:style>
  <w:style w:styleId="WW8Num19z1" w:type="character">
    <w:name w:val="WW8Num19z1"/>
    <w:qFormat/>
    <w:rPr/>
  </w:style>
  <w:style w:styleId="WW8Num20z0" w:type="character">
    <w:name w:val="WW8Num20z0"/>
    <w:qFormat/>
    <w:rPr>
      <w:rFonts w:ascii="Symbol" w:cs="Symbol" w:hAnsi="Symbol"/>
    </w:rPr>
  </w:style>
  <w:style w:styleId="WW8Num20z1" w:type="character">
    <w:name w:val="WW8Num20z1"/>
    <w:qFormat/>
    <w:rPr>
      <w:rFonts w:ascii="Courier New" w:cs="Courier New" w:hAnsi="Courier New"/>
    </w:rPr>
  </w:style>
  <w:style w:styleId="WW8Num20z2" w:type="character">
    <w:name w:val="WW8Num20z2"/>
    <w:qFormat/>
    <w:rPr>
      <w:rFonts w:ascii="Wingdings" w:cs="Wingdings" w:hAnsi="Wingdings"/>
    </w:rPr>
  </w:style>
  <w:style w:styleId="WW8Num21z0" w:type="character">
    <w:name w:val="WW8Num21z0"/>
    <w:qFormat/>
    <w:rPr/>
  </w:style>
  <w:style w:styleId="WW8Num21z1" w:type="character">
    <w:name w:val="WW8Num21z1"/>
    <w:qFormat/>
    <w:rPr>
      <w:rFonts w:ascii="Arial" w:cs="Arial" w:hAnsi="Arial"/>
      <w:sz w:val="22"/>
    </w:rPr>
  </w:style>
  <w:style w:styleId="WW8Num22z0" w:type="character">
    <w:name w:val="WW8Num22z0"/>
    <w:qFormat/>
    <w:rPr/>
  </w:style>
  <w:style w:styleId="WW8Num23z0" w:type="character">
    <w:name w:val="WW8Num23z0"/>
    <w:qFormat/>
    <w:rPr>
      <w:b w:val="false"/>
    </w:rPr>
  </w:style>
  <w:style w:styleId="WW8Num24z0" w:type="character">
    <w:name w:val="WW8Num24z0"/>
    <w:qFormat/>
    <w:rPr/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Hyperlink" w:type="character">
    <w:name w:val="Hyperlink"/>
    <w:rPr>
      <w:color w:val="0000FF"/>
      <w:u w:val="single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Prrafodelista" w:type="paragraph">
    <w:name w:val="Párrafo de lista"/>
    <w:basedOn w:val="Normal"/>
    <w:qFormat/>
    <w:pPr>
      <w:ind w:end="0" w:hanging="0" w:start="708"/>
    </w:pPr>
    <w:rPr>
      <w:lang w:val="es-MX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