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8f14e334a5759e9a8ec05c03c9c7beac2c1497"/>
    <w:p>
      <w:pPr>
        <w:pStyle w:val="Heading1"/>
      </w:pPr>
      <w:r>
        <w:t xml:space="preserve">F-PSEA-17: Evaluación de proveedores críticos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F-PSEA-17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Registro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Evaluación de proveedores críticos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Preliminar — Mantener / Actualizar</w:t>
      </w:r>
      <w:r>
        <w:br/>
      </w:r>
      <w:r>
        <w:rPr>
          <w:b/>
          <w:bCs/>
        </w:rPr>
        <w:t xml:space="preserve">Clase:</w:t>
      </w:r>
      <w:r>
        <w:t xml:space="preserve"> </w:t>
      </w:r>
      <w:r>
        <w:t xml:space="preserve">Ficha preliminar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la evaluacion, seleccion, seguimiento y decision de aprobacion o rechazo de proveedores y servicios criticos para el PEA, garantizando que su desempeno no afecte la validez de los ensayos de aptitud.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registro aplica a:</w:t>
      </w:r>
    </w:p>
    <w:p>
      <w:pPr>
        <w:pStyle w:val="Compact"/>
        <w:numPr>
          <w:ilvl w:val="0"/>
          <w:numId w:val="1001"/>
        </w:numPr>
      </w:pPr>
      <w:r>
        <w:t xml:space="preserve">Proveedores de cilindros de gas patron, calibradores dinamicos, equipos de medicion y otros insumos que afecten la validez del item de ensayo.</w:t>
      </w:r>
    </w:p>
    <w:p>
      <w:pPr>
        <w:pStyle w:val="Compact"/>
        <w:numPr>
          <w:ilvl w:val="0"/>
          <w:numId w:val="1001"/>
        </w:numPr>
      </w:pPr>
      <w:r>
        <w:t xml:space="preserve">Servicios criticos como software de gestion, mantenimiento especializado, transporte de equipos sensibles y servicios de calibracion externa.</w:t>
      </w:r>
    </w:p>
    <w:p>
      <w:pPr>
        <w:pStyle w:val="Compact"/>
        <w:numPr>
          <w:ilvl w:val="0"/>
          <w:numId w:val="1001"/>
        </w:numPr>
      </w:pPr>
      <w:r>
        <w:t xml:space="preserve">Evaluaciones iniciales, reevaluaciones periodicas y registros de desempeno.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Compras generales o servicios administrativos que no afecten la validez del EA.</w:t>
      </w:r>
    </w:p>
    <w:p>
      <w:pPr>
        <w:pStyle w:val="Compact"/>
        <w:numPr>
          <w:ilvl w:val="0"/>
          <w:numId w:val="1002"/>
        </w:numPr>
      </w:pPr>
      <w:r>
        <w:t xml:space="preserve">Evaluacion de competencia del personal interno (eso es</w:t>
      </w:r>
      <w:r>
        <w:t xml:space="preserve"> </w:t>
      </w:r>
      <w:r>
        <w:rPr>
          <w:rStyle w:val="VerbatimChar"/>
        </w:rPr>
        <w:t xml:space="preserve">F-PSEA-16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Gestion de contratos o acuerdos de confidencialidad, aunque si los referencia.</w:t>
      </w:r>
    </w:p>
    <w:bookmarkEnd w:id="10"/>
    <w:bookmarkStart w:id="11" w:name="responsable-funcional"/>
    <w:p>
      <w:pPr>
        <w:pStyle w:val="Heading2"/>
      </w:pPr>
      <w:r>
        <w:t xml:space="preserve">3. Responsable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compras y proveedores del PEA</w:t>
            </w:r>
          </w:p>
        </w:tc>
        <w:tc>
          <w:tcPr/>
          <w:p>
            <w:pPr>
              <w:pStyle w:val="Compact"/>
            </w:pPr>
            <w:r>
              <w:t xml:space="preserve">Iniciar y consolidar la evaluacion de proveedores criticos.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Definir criterios tecnicos de aceptacion y validar la idoneidad del proveedor.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Verificar que la evaluacion cumpla los requisitos de</w:t>
            </w:r>
            <w:r>
              <w:t xml:space="preserve"> </w:t>
            </w:r>
            <w:r>
              <w:rPr>
                <w:rStyle w:val="VerbatimChar"/>
              </w:rPr>
              <w:t xml:space="preserve">P-PSEA-21</w:t>
            </w:r>
            <w:r>
              <w:t xml:space="preserve"> </w:t>
            </w:r>
            <w:r>
              <w:t xml:space="preserve">y los limites de tercerizacion de ISO/IEC 17043.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direccion del PEA</w:t>
            </w:r>
          </w:p>
        </w:tc>
        <w:tc>
          <w:tcPr/>
          <w:p>
            <w:pPr>
              <w:pStyle w:val="Compact"/>
            </w:pPr>
            <w:r>
              <w:t xml:space="preserve">Aprobar la lista de proveedores criticos y las decisiones de rechazo.</w:t>
            </w:r>
          </w:p>
        </w:tc>
      </w:tr>
    </w:tbl>
    <w:bookmarkEnd w:id="11"/>
    <w:bookmarkStart w:id="12" w:name="momento-de-uso"/>
    <w:p>
      <w:pPr>
        <w:pStyle w:val="Heading2"/>
      </w:pPr>
      <w:r>
        <w:t xml:space="preserve">4. Momento de uso</w:t>
      </w:r>
    </w:p>
    <w:p>
      <w:pPr>
        <w:pStyle w:val="Compact"/>
        <w:numPr>
          <w:ilvl w:val="0"/>
          <w:numId w:val="1003"/>
        </w:numPr>
      </w:pPr>
      <w:r>
        <w:t xml:space="preserve">Antes de contratar o aprobar un nuevo proveedor critico.</w:t>
      </w:r>
    </w:p>
    <w:p>
      <w:pPr>
        <w:pStyle w:val="Compact"/>
        <w:numPr>
          <w:ilvl w:val="0"/>
          <w:numId w:val="1003"/>
        </w:numPr>
      </w:pPr>
      <w:r>
        <w:t xml:space="preserve">Durante la reevaluacion periodica de proveedores aprobados.</w:t>
      </w:r>
    </w:p>
    <w:p>
      <w:pPr>
        <w:pStyle w:val="Compact"/>
        <w:numPr>
          <w:ilvl w:val="0"/>
          <w:numId w:val="1003"/>
        </w:numPr>
      </w:pPr>
      <w:r>
        <w:t xml:space="preserve">Cuando un proveedor incumple especificaciones o presenta desviaciones.</w:t>
      </w:r>
    </w:p>
    <w:p>
      <w:pPr>
        <w:pStyle w:val="Compact"/>
        <w:numPr>
          <w:ilvl w:val="0"/>
          <w:numId w:val="1003"/>
        </w:numPr>
      </w:pPr>
      <w:r>
        <w:t xml:space="preserve">Al actualizar la lista de proveedores criticos del PEA.</w:t>
      </w:r>
    </w:p>
    <w:p>
      <w:pPr>
        <w:pStyle w:val="Compact"/>
        <w:numPr>
          <w:ilvl w:val="0"/>
          <w:numId w:val="1003"/>
        </w:numPr>
      </w:pPr>
      <w:r>
        <w:t xml:space="preserve">Antes de utilizar un proveedor en la preparacion del item de ensayo (</w:t>
      </w:r>
      <w:r>
        <w:rPr>
          <w:rStyle w:val="VerbatimChar"/>
        </w:rPr>
        <w:t xml:space="preserve">P-PSEA-06</w:t>
      </w:r>
      <w:r>
        <w:t xml:space="preserve">).</w:t>
      </w:r>
    </w:p>
    <w:bookmarkEnd w:id="12"/>
    <w:bookmarkStart w:id="13" w:name="campos-minimos"/>
    <w:p>
      <w:pPr>
        <w:pStyle w:val="Heading2"/>
      </w:pPr>
      <w:r>
        <w:t xml:space="preserve">5. Campos minimos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ID_proveedor</w:t>
            </w:r>
          </w:p>
        </w:tc>
        <w:tc>
          <w:tcPr/>
          <w:p>
            <w:pPr>
              <w:pStyle w:val="Compact"/>
            </w:pPr>
            <w:r>
              <w:t xml:space="preserve">Codigo interno de identificacion del proveedor.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Nombre_proveedor</w:t>
            </w:r>
          </w:p>
        </w:tc>
        <w:tc>
          <w:tcPr/>
          <w:p>
            <w:pPr>
              <w:pStyle w:val="Compact"/>
            </w:pPr>
            <w:r>
              <w:t xml:space="preserve">Razon social o nombre del proveedor.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Tipo_servicio</w:t>
            </w:r>
          </w:p>
        </w:tc>
        <w:tc>
          <w:tcPr/>
          <w:p>
            <w:pPr>
              <w:pStyle w:val="Compact"/>
            </w:pPr>
            <w:r>
              <w:t xml:space="preserve">Cilindro de gas, calibrador, software, mantenimiento, transporte, calibracion externa, otro.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Criterios_evaluacion</w:t>
            </w:r>
          </w:p>
        </w:tc>
        <w:tc>
          <w:tcPr/>
          <w:p>
            <w:pPr>
              <w:pStyle w:val="Compact"/>
            </w:pPr>
            <w:r>
              <w:t xml:space="preserve">Requisitos tecnicos, metrologicos, de trazabilidad, experiencia y capacidad definidos.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Evidencia_soportes</w:t>
            </w:r>
          </w:p>
        </w:tc>
        <w:tc>
          <w:tcPr/>
          <w:p>
            <w:pPr>
              <w:pStyle w:val="Compact"/>
            </w:pPr>
            <w:r>
              <w:t xml:space="preserve">Certificados, acreditaciones, informes de desempeno, referencias, visitas tecnicas.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Evaluacion_inicial</w:t>
            </w:r>
          </w:p>
        </w:tc>
        <w:tc>
          <w:tcPr/>
          <w:p>
            <w:pPr>
              <w:pStyle w:val="Compact"/>
            </w:pPr>
            <w:r>
              <w:t xml:space="preserve">Resultado de la evaluacion previa al primer uso: aprobado / condicional / rechazado.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Fecha_aprobacion</w:t>
            </w:r>
          </w:p>
        </w:tc>
        <w:tc>
          <w:tcPr/>
          <w:p>
            <w:pPr>
              <w:pStyle w:val="Compact"/>
            </w:pPr>
            <w:r>
              <w:t xml:space="preserve">Fecha en que se aprobo al proveedor.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Vigencia_aprobacion</w:t>
            </w:r>
          </w:p>
        </w:tc>
        <w:tc>
          <w:tcPr/>
          <w:p>
            <w:pPr>
              <w:pStyle w:val="Compact"/>
            </w:pPr>
            <w:r>
              <w:t xml:space="preserve">Periodo de validez de la aprobacion.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Seguimiento_desempeno</w:t>
            </w:r>
          </w:p>
        </w:tc>
        <w:tc>
          <w:tcPr/>
          <w:p>
            <w:pPr>
              <w:pStyle w:val="Compact"/>
            </w:pPr>
            <w:r>
              <w:t xml:space="preserve">Registro de incumplimientos, desviaciones o resultados de seguimiento.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Reevaluacion</w:t>
            </w:r>
          </w:p>
        </w:tc>
        <w:tc>
          <w:tcPr/>
          <w:p>
            <w:pPr>
              <w:pStyle w:val="Compact"/>
            </w:pPr>
            <w:r>
              <w:t xml:space="preserve">Resultado y fecha de la evaluacion periodica.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Decision_actual</w:t>
            </w:r>
          </w:p>
        </w:tc>
        <w:tc>
          <w:tcPr/>
          <w:p>
            <w:pPr>
              <w:pStyle w:val="Compact"/>
            </w:pPr>
            <w:r>
              <w:t xml:space="preserve">Aprobado / Suspendido / Rechazado / En observacion.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Alcance_aprobado</w:t>
            </w:r>
          </w:p>
        </w:tc>
        <w:tc>
          <w:tcPr/>
          <w:p>
            <w:pPr>
              <w:pStyle w:val="Compact"/>
            </w:pPr>
            <w:r>
              <w:t xml:space="preserve">Servicios o productos especificos autorizados.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Limitaciones</w:t>
            </w:r>
          </w:p>
        </w:tc>
        <w:tc>
          <w:tcPr/>
          <w:p>
            <w:pPr>
              <w:pStyle w:val="Compact"/>
            </w:pPr>
            <w:r>
              <w:t xml:space="preserve">Restricciones de tercerizacion segun ISO/IEC 17043.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Notas sobre riesgos, acciones correctivas o condiciones especiales.</w:t>
            </w:r>
          </w:p>
        </w:tc>
      </w:tr>
    </w:tbl>
    <w:bookmarkEnd w:id="13"/>
    <w:bookmarkStart w:id="14" w:name="controles-de-calidad"/>
    <w:p>
      <w:pPr>
        <w:pStyle w:val="Heading2"/>
      </w:pPr>
      <w:r>
        <w:t xml:space="preserve">6. Controles de calidad</w:t>
      </w:r>
    </w:p>
    <w:p>
      <w:pPr>
        <w:pStyle w:val="Compact"/>
        <w:numPr>
          <w:ilvl w:val="0"/>
          <w:numId w:val="1004"/>
        </w:numPr>
      </w:pPr>
      <w:r>
        <w:t xml:space="preserve">Los criterios de evaluacion deben estar definidos en</w:t>
      </w:r>
      <w:r>
        <w:t xml:space="preserve"> </w:t>
      </w:r>
      <w:r>
        <w:rPr>
          <w:rStyle w:val="VerbatimChar"/>
        </w:rPr>
        <w:t xml:space="preserve">P-PSEA-21</w:t>
      </w:r>
      <w:r>
        <w:t xml:space="preserve"> </w:t>
      </w:r>
      <w:r>
        <w:t xml:space="preserve">y ser acordes al riesgo del servicio.</w:t>
      </w:r>
    </w:p>
    <w:p>
      <w:pPr>
        <w:pStyle w:val="Compact"/>
        <w:numPr>
          <w:ilvl w:val="0"/>
          <w:numId w:val="1004"/>
        </w:numPr>
      </w:pPr>
      <w:r>
        <w:t xml:space="preserve">La trazabilidad de productos criticos (cilindros, calibradores) debe verificarse antes de la aprobacion.</w:t>
      </w:r>
    </w:p>
    <w:p>
      <w:pPr>
        <w:pStyle w:val="Compact"/>
        <w:numPr>
          <w:ilvl w:val="0"/>
          <w:numId w:val="1004"/>
        </w:numPr>
      </w:pPr>
      <w:r>
        <w:t xml:space="preserve">Las aprobaciones deben revisarse periodicamente y actualizarse ante cambios de desempeno.</w:t>
      </w:r>
    </w:p>
    <w:p>
      <w:pPr>
        <w:pStyle w:val="Compact"/>
        <w:numPr>
          <w:ilvl w:val="0"/>
          <w:numId w:val="1004"/>
        </w:numPr>
      </w:pPr>
      <w:r>
        <w:t xml:space="preserve">Los proveedores suspendidos o rechazados deben quedar claramente identificados para evitar su uso.</w:t>
      </w:r>
    </w:p>
    <w:p>
      <w:pPr>
        <w:pStyle w:val="Compact"/>
        <w:numPr>
          <w:ilvl w:val="0"/>
          <w:numId w:val="1004"/>
        </w:numPr>
      </w:pPr>
      <w:r>
        <w:t xml:space="preserve">Se debe respetar el alcance de tercerizacion permitido por ISO/IEC 17043.</w:t>
      </w:r>
    </w:p>
    <w:p>
      <w:pPr>
        <w:pStyle w:val="Compact"/>
        <w:numPr>
          <w:ilvl w:val="0"/>
          <w:numId w:val="1004"/>
        </w:numPr>
      </w:pPr>
      <w:r>
        <w:t xml:space="preserve">Los cambios de proveedor critico deben evaluarse antes de afectar la preparacion del item de ensayo.</w:t>
      </w:r>
    </w:p>
    <w:bookmarkEnd w:id="14"/>
    <w:bookmarkStart w:id="15" w:name="relaciones-documentales"/>
    <w:p>
      <w:pPr>
        <w:pStyle w:val="Heading2"/>
      </w:pPr>
      <w:r>
        <w:t xml:space="preserve">7.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  <w:tc>
          <w:tcPr/>
          <w:p>
            <w:pPr>
              <w:pStyle w:val="Compact"/>
            </w:pPr>
            <w:r>
              <w:t xml:space="preserve">Tipo de vinculo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  <w:tc>
          <w:tcPr/>
          <w:p>
            <w:pPr>
              <w:pStyle w:val="Compact"/>
            </w:pPr>
            <w:r>
              <w:t xml:space="preserve">Procedimiento de proveedores criticos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Competencia y autorizacion, para evaluar competencia de terceros que prestan servicios criticos.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item, que utiliza proveedores aprobados.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estadistico, que puede verse afectado por la calidad de insumos y servicios.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item, donde se registra trazabilidad de insumos criticos.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</w:tbl>
    <w:bookmarkEnd w:id="15"/>
    <w:bookmarkStart w:id="16" w:name="limites"/>
    <w:p>
      <w:pPr>
        <w:pStyle w:val="Heading2"/>
      </w:pPr>
      <w:r>
        <w:t xml:space="preserve">8. Limites</w:t>
      </w:r>
    </w:p>
    <w:p>
      <w:pPr>
        <w:pStyle w:val="Compact"/>
        <w:numPr>
          <w:ilvl w:val="0"/>
          <w:numId w:val="1005"/>
        </w:numPr>
      </w:pPr>
      <w:r>
        <w:t xml:space="preserve">No es el procedimiento de proveedores; es el registro que resulta de su aplicacion (</w:t>
      </w:r>
      <w:r>
        <w:rPr>
          <w:rStyle w:val="VerbatimChar"/>
        </w:rPr>
        <w:t xml:space="preserve">P-PSEA-21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No cubre compras generales ni servicios administrativos; solo los que afectan la validez del EA.</w:t>
      </w:r>
    </w:p>
    <w:p>
      <w:pPr>
        <w:pStyle w:val="Compact"/>
        <w:numPr>
          <w:ilvl w:val="0"/>
          <w:numId w:val="1005"/>
        </w:numPr>
      </w:pPr>
      <w:r>
        <w:t xml:space="preserve">No es un contrato ni un acuerdo de confidencialidad, aunque puede referenciarlos.</w:t>
      </w:r>
    </w:p>
    <w:p>
      <w:pPr>
        <w:pStyle w:val="Compact"/>
        <w:numPr>
          <w:ilvl w:val="0"/>
          <w:numId w:val="1005"/>
        </w:numPr>
      </w:pPr>
      <w:r>
        <w:t xml:space="preserve">Su estructura es preliminar y requiere validacion antes de declararse estable.</w:t>
      </w:r>
    </w:p>
    <w:p>
      <w:pPr>
        <w:pStyle w:val="Compact"/>
        <w:numPr>
          <w:ilvl w:val="0"/>
          <w:numId w:val="1005"/>
        </w:numPr>
      </w:pPr>
      <w:r>
        <w:t xml:space="preserve">No autoriza tercerizaciones fuera de los limites establecidos por ISO/IEC 17043.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2026-06-19T12:35:42Z</dcterms:created>
  <dcterms:modified xsi:type="dcterms:W3CDTF">2026-06-19T12:35:42Z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