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c7e3884f59fc8b6c78b1533b5426b37cb0f80a"/>
    <w:p>
      <w:pPr>
        <w:pStyle w:val="Heading1"/>
      </w:pPr>
      <w:r>
        <w:t xml:space="preserve">P-PSEA-06 Preparacion y control del item de ensayo gaseoso</w:t>
      </w:r>
    </w:p>
    <w:bookmarkStart w:id="1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Definir el procedimiento para preparar y controlar el item de ensayo gaseoso del PEA, asegurando que las concentraciones generadas con calibrador dinamico y cilindro de gas sean trazables, estables y adecuadas para la evaluacion de aptitud.</w:t>
      </w:r>
    </w:p>
    <w:bookmarkEnd w:id="11"/>
    <w:bookmarkStart w:id="12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 la generacion in situ de concentraciones de gases contaminantes criterio durante las rondas del PEA. Incluye preparacion, verificacion operativa, control del item, registro de condiciones y enlace con la evaluacion de homogeneidad y estabilidad.</w:t>
      </w:r>
    </w:p>
    <w:p>
      <w:pPr>
        <w:pStyle w:val="BodyText"/>
      </w:pPr>
      <w:r>
        <w:t xml:space="preserve">No aplica al envio o recepcion fisica de items de ensayo, porque el esquema genera el item gaseoso en sitio.</w:t>
      </w:r>
    </w:p>
    <w:bookmarkEnd w:id="12"/>
    <w:bookmarkStart w:id="13" w:name="entradas"/>
    <w:p>
      <w:pPr>
        <w:pStyle w:val="Heading2"/>
      </w:pPr>
      <w:r>
        <w:t xml:space="preserve">Entradas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Fuente de niveles y parametros definidos para la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Planificacion de ronda y condiciones operativas.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Calibrador dinamico</w:t>
            </w:r>
          </w:p>
        </w:tc>
        <w:tc>
          <w:tcPr/>
          <w:p>
            <w:pPr>
              <w:pStyle w:val="Compact"/>
            </w:pPr>
            <w:r>
              <w:t xml:space="preserve">Generacion de concentraciones objetivo.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Cilindro de gas patron</w:t>
            </w:r>
          </w:p>
        </w:tc>
        <w:tc>
          <w:tcPr/>
          <w:p>
            <w:pPr>
              <w:pStyle w:val="Compact"/>
            </w:pPr>
            <w:r>
              <w:t xml:space="preserve">Fuente de gas para preparacion del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Procedimientos por analito</w:t>
            </w:r>
            <w:r>
              <w:t xml:space="preserve"> </w:t>
            </w:r>
            <w:r>
              <w:rPr>
                <w:rStyle w:val="VerbatimChar"/>
              </w:rPr>
              <w:t xml:space="preserve">P-PSEA-10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</w:p>
        </w:tc>
        <w:tc>
          <w:tcPr/>
          <w:p>
            <w:pPr>
              <w:pStyle w:val="Compact"/>
            </w:pPr>
            <w:r>
              <w:t xml:space="preserve">Particularidades tecnicas del gas.</w:t>
            </w:r>
          </w:p>
        </w:tc>
      </w:tr>
    </w:tbl>
    <w:bookmarkEnd w:id="13"/>
    <w:bookmarkStart w:id="14" w:name="actividades"/>
    <w:p>
      <w:pPr>
        <w:pStyle w:val="Heading2"/>
      </w:pPr>
      <w:r>
        <w:t xml:space="preserve">Actividades</w:t>
      </w:r>
    </w:p>
    <w:p>
      <w:pPr>
        <w:pStyle w:val="Compact"/>
        <w:numPr>
          <w:ilvl w:val="0"/>
          <w:numId w:val="1001"/>
        </w:numPr>
      </w:pPr>
      <w:r>
        <w:t xml:space="preserve">Confirmar la ronda, analito, niveles nominales y condiciones de operacion definidos en la planificacion.</w:t>
      </w:r>
    </w:p>
    <w:p>
      <w:pPr>
        <w:pStyle w:val="Compact"/>
        <w:numPr>
          <w:ilvl w:val="0"/>
          <w:numId w:val="1001"/>
        </w:numPr>
      </w:pPr>
      <w:r>
        <w:t xml:space="preserve">Verificar disponibilidad, identificacion y estado metrologico del calibrador dinamico, cilindro, lineas y elementos auxiliares.</w:t>
      </w:r>
    </w:p>
    <w:p>
      <w:pPr>
        <w:pStyle w:val="Compact"/>
        <w:numPr>
          <w:ilvl w:val="0"/>
          <w:numId w:val="1001"/>
        </w:numPr>
      </w:pPr>
      <w:r>
        <w:t xml:space="preserve">Configurar el sistema de generacion de acuerdo con el analito y el nivel requerido.</w:t>
      </w:r>
    </w:p>
    <w:p>
      <w:pPr>
        <w:pStyle w:val="Compact"/>
        <w:numPr>
          <w:ilvl w:val="0"/>
          <w:numId w:val="1001"/>
        </w:numPr>
      </w:pPr>
      <w:r>
        <w:t xml:space="preserve">Ejecutar estabilizacion inicial antes de registrar lecturas o exponer equipos participantes.</w:t>
      </w:r>
    </w:p>
    <w:p>
      <w:pPr>
        <w:pStyle w:val="Compact"/>
        <w:numPr>
          <w:ilvl w:val="0"/>
          <w:numId w:val="1001"/>
        </w:numPr>
      </w:pPr>
      <w:r>
        <w:t xml:space="preserve">Registrar condiciones de preparacion, controles aplicados, desviaciones y observaciones operativas.</w:t>
      </w:r>
    </w:p>
    <w:p>
      <w:pPr>
        <w:pStyle w:val="Compact"/>
        <w:numPr>
          <w:ilvl w:val="0"/>
          <w:numId w:val="1001"/>
        </w:numPr>
      </w:pPr>
      <w:r>
        <w:t xml:space="preserve">Generar o consolidar los datos necesarios para homogeneidad y estabilidad cuando aplique.</w:t>
      </w:r>
    </w:p>
    <w:p>
      <w:pPr>
        <w:pStyle w:val="Compact"/>
        <w:numPr>
          <w:ilvl w:val="0"/>
          <w:numId w:val="1001"/>
        </w:numPr>
      </w:pPr>
      <w:r>
        <w:t xml:space="preserve">Entregar los registros al flujo digital y estadistico definido en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P-PSEA-07</w:t>
      </w:r>
      <w:r>
        <w:t xml:space="preserve">.</w:t>
      </w:r>
    </w:p>
    <w:bookmarkEnd w:id="14"/>
    <w:bookmarkStart w:id="15" w:name="salidas-y-registros"/>
    <w:p>
      <w:pPr>
        <w:pStyle w:val="Heading2"/>
      </w:pPr>
      <w:r>
        <w:t xml:space="preserve">Salidas y registros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Dossier o registro de preparacion y control del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Registro principal de homogeneidad y estabilidad del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estabilidad.</w:t>
            </w:r>
          </w:p>
        </w:tc>
      </w:tr>
    </w:tbl>
    <w:bookmarkEnd w:id="15"/>
    <w:bookmarkStart w:id="16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02"/>
        </w:numPr>
      </w:pPr>
      <w:r>
        <w:t xml:space="preserve">Confirmar que los niveles usados corresponden a la ronda vigente.</w:t>
      </w:r>
    </w:p>
    <w:p>
      <w:pPr>
        <w:pStyle w:val="Compact"/>
        <w:numPr>
          <w:ilvl w:val="0"/>
          <w:numId w:val="1002"/>
        </w:numPr>
      </w:pPr>
      <w:r>
        <w:t xml:space="preserve">Registrar identificacion de equipos, cilindros, fechas, responsables y condiciones ambientales relevantes.</w:t>
      </w:r>
    </w:p>
    <w:p>
      <w:pPr>
        <w:pStyle w:val="Compact"/>
        <w:numPr>
          <w:ilvl w:val="0"/>
          <w:numId w:val="1002"/>
        </w:numPr>
      </w:pPr>
      <w:r>
        <w:t xml:space="preserve">Separar controles del item de los criterios estadisticos generales, que se gobiernan por</w:t>
      </w:r>
      <w:r>
        <w:t xml:space="preserve"> </w:t>
      </w:r>
      <w:r>
        <w:rPr>
          <w:rStyle w:val="VerbatimChar"/>
        </w:rPr>
        <w:t xml:space="preserve">P-PSEA-07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Mantener trazabilidad entre preparacion del item, datos H/E y dataset oficial de la ronda.</w:t>
      </w:r>
    </w:p>
    <w:bookmarkEnd w:id="16"/>
    <w:bookmarkStart w:id="17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Planificacion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Diseno estadistico y criterios H/E.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</w:p>
        </w:tc>
        <w:tc>
          <w:tcPr/>
          <w:p>
            <w:pPr>
              <w:pStyle w:val="Compact"/>
            </w:pPr>
            <w:r>
              <w:t xml:space="preserve">Procedimientos tecnicos por analito.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Definicion digital de niveles y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Analisis H/E y procesamiento posterior.</w:t>
            </w:r>
          </w:p>
        </w:tc>
      </w:tr>
    </w:tbl>
    <w:bookmarkEnd w:id="17"/>
    <w:bookmarkStart w:id="18" w:name="limites"/>
    <w:p>
      <w:pPr>
        <w:pStyle w:val="Heading2"/>
      </w:pPr>
      <w:r>
        <w:t xml:space="preserve">Limites</w:t>
      </w:r>
    </w:p>
    <w:p>
      <w:pPr>
        <w:pStyle w:val="Compact"/>
        <w:numPr>
          <w:ilvl w:val="0"/>
          <w:numId w:val="1003"/>
        </w:numPr>
      </w:pPr>
      <w:r>
        <w:t xml:space="preserve">No reemplaza los procedimientos tecnicos por analito.</w:t>
      </w:r>
    </w:p>
    <w:p>
      <w:pPr>
        <w:pStyle w:val="Compact"/>
        <w:numPr>
          <w:ilvl w:val="0"/>
          <w:numId w:val="1003"/>
        </w:numPr>
      </w:pPr>
      <w:r>
        <w:t xml:space="preserve">No define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valor asignado, outliers ni reglas de desempeno.</w:t>
      </w:r>
    </w:p>
    <w:p>
      <w:pPr>
        <w:pStyle w:val="Compact"/>
        <w:numPr>
          <w:ilvl w:val="0"/>
          <w:numId w:val="1003"/>
        </w:numPr>
      </w:pPr>
      <w:r>
        <w:t xml:space="preserve">No documenta envio fisico de items de ensayo.</w:t>
      </w:r>
    </w:p>
    <w:p>
      <w:pPr>
        <w:pStyle w:val="Compact"/>
        <w:numPr>
          <w:ilvl w:val="0"/>
          <w:numId w:val="1003"/>
        </w:numPr>
      </w:pPr>
      <w:r>
        <w:t xml:space="preserve">No sustituye instructivos de uso de aplicativos o equipos.</w:t>
      </w:r>
    </w:p>
    <w:bookmarkEnd w:id="18"/>
    <w:bookmarkEnd w:id="19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P-PSEA-06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PREPARACION Y CONTROL DEL ITEM DE ENSAYO GASEOSO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