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733883ffd56740c63bc867233a1c0077910afa"/>
    <w:p>
      <w:pPr>
        <w:pStyle w:val="Heading1"/>
      </w:pPr>
      <w:r>
        <w:t xml:space="preserve">P-PSEA-08 Flujo tecnico de datos digitales del PEA</w:t>
      </w:r>
    </w:p>
    <w:bookmarkStart w:id="1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el flujo tecnico de datos digitales del PEA desde la captura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hasta el preprocesamiento, analisis estadistico, generacion de subformatos H/E, consolidacion del dataset oficial y produccion del informe final.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datos, archivos CSV simples, exportaciones oficiales, registros de procesamiento y salidas digitales generadas durante una ronda o evento del PEA. No convierte archivos tecnicos internos en formatos oficiales salvo decision documental explicita.</w:t>
      </w:r>
    </w:p>
    <w:bookmarkEnd w:id="12"/>
    <w:bookmarkStart w:id="13" w:name="entradas"/>
    <w:p>
      <w:pPr>
        <w:pStyle w:val="Heading2"/>
      </w:pPr>
      <w:r>
        <w:t xml:space="preserve">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Captura de participantes, ronda, cronogramas y datos reportados.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Exportacion oficial de datos de participantes.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operativos</w:t>
            </w:r>
          </w:p>
        </w:tc>
        <w:tc>
          <w:tcPr/>
          <w:p>
            <w:pPr>
              <w:pStyle w:val="Compact"/>
            </w:pPr>
            <w:r>
              <w:t xml:space="preserve">Archivos simples usados como soporte tecnico del flujo.</w:t>
            </w:r>
          </w:p>
        </w:tc>
      </w:tr>
    </w:tbl>
    <w:bookmarkEnd w:id="13"/>
    <w:bookmarkStart w:id="14" w:name="actividades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Identificar el origen de cada dato digital y su aplicativo responsable.</w:t>
      </w:r>
    </w:p>
    <w:p>
      <w:pPr>
        <w:pStyle w:val="Compact"/>
        <w:numPr>
          <w:ilvl w:val="0"/>
          <w:numId w:val="1001"/>
        </w:numPr>
      </w:pPr>
      <w:r>
        <w:t xml:space="preserve">Exportar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los datos oficiales requeridos para analisis.</w:t>
      </w:r>
    </w:p>
    <w:p>
      <w:pPr>
        <w:pStyle w:val="Compact"/>
        <w:numPr>
          <w:ilvl w:val="0"/>
          <w:numId w:val="1001"/>
        </w:numPr>
      </w:pPr>
      <w:r>
        <w:t xml:space="preserve">Registrar ingreso, validacion y preprocesamiento en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Generar subformatos de homogeneidad y estabilidad cuando aplique.</w:t>
      </w:r>
    </w:p>
    <w:p>
      <w:pPr>
        <w:pStyle w:val="Compact"/>
        <w:numPr>
          <w:ilvl w:val="0"/>
          <w:numId w:val="1001"/>
        </w:numPr>
      </w:pPr>
      <w:r>
        <w:t xml:space="preserve">Consolidar el dataset oficial para evaluacion de aptitud.</w:t>
      </w:r>
    </w:p>
    <w:p>
      <w:pPr>
        <w:pStyle w:val="Compact"/>
        <w:numPr>
          <w:ilvl w:val="0"/>
          <w:numId w:val="1001"/>
        </w:numPr>
      </w:pPr>
      <w:r>
        <w:t xml:space="preserve">Entregar resultados al modulo de analisis y al flujo de informe final.</w:t>
      </w:r>
    </w:p>
    <w:p>
      <w:pPr>
        <w:pStyle w:val="Compact"/>
        <w:numPr>
          <w:ilvl w:val="0"/>
          <w:numId w:val="1001"/>
        </w:numPr>
      </w:pPr>
      <w:r>
        <w:t xml:space="preserve">Clasificar CSV simples como evidencia oficial, soporte trazable, intermedio reproducible o transitorio.</w:t>
      </w:r>
    </w:p>
    <w:bookmarkEnd w:id="14"/>
    <w:bookmarkStart w:id="15" w:name="matriz-resumen-de-salidas"/>
    <w:p>
      <w:pPr>
        <w:pStyle w:val="Heading2"/>
      </w:pPr>
      <w:r>
        <w:t xml:space="preserve">Matriz resumen de salidas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archivo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Condicion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</w:t>
            </w:r>
          </w:p>
        </w:tc>
        <w:tc>
          <w:tcPr/>
          <w:p>
            <w:pPr>
              <w:pStyle w:val="Compact"/>
            </w:pPr>
            <w:r>
              <w:t xml:space="preserve">evidencia_oficial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t xml:space="preserve">soporte_trazable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t xml:space="preserve">soporte_trazable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</w:t>
            </w:r>
          </w:p>
        </w:tc>
        <w:tc>
          <w:tcPr/>
          <w:p>
            <w:pPr>
              <w:pStyle w:val="Compact"/>
            </w:pPr>
            <w:r>
              <w:t xml:space="preserve">evidencia_oficial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t xml:space="preserve">evidencia_oficial</w:t>
            </w:r>
          </w:p>
        </w:tc>
      </w:tr>
    </w:tbl>
    <w:bookmarkEnd w:id="15"/>
    <w:bookmarkStart w:id="16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2"/>
        </w:numPr>
      </w:pPr>
      <w:r>
        <w:t xml:space="preserve">Diferenciar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 </w:t>
      </w:r>
      <w:r>
        <w:t xml:space="preserve">como exportacion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F-PSEA-12</w:t>
      </w:r>
      <w:r>
        <w:t xml:space="preserve"> </w:t>
      </w:r>
      <w:r>
        <w:t xml:space="preserve">como dataset consolidado desde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Registrar el responsable y momento de generacion de cada archivo conservado.</w:t>
      </w:r>
    </w:p>
    <w:p>
      <w:pPr>
        <w:pStyle w:val="Compact"/>
        <w:numPr>
          <w:ilvl w:val="0"/>
          <w:numId w:val="1002"/>
        </w:numPr>
      </w:pPr>
      <w:r>
        <w:t xml:space="preserve">Mantener los CSV tecnicos como anexos del flujo, no como formatos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 </w:t>
      </w:r>
      <w:r>
        <w:t xml:space="preserve">independientes.</w:t>
      </w:r>
    </w:p>
    <w:p>
      <w:pPr>
        <w:pStyle w:val="Compact"/>
        <w:numPr>
          <w:ilvl w:val="0"/>
          <w:numId w:val="1002"/>
        </w:numPr>
      </w:pPr>
      <w:r>
        <w:t xml:space="preserve">Asegurar que las evidencias conservadas tambien se reflejen en la matriz de registros/evidencias correspondiente.</w:t>
      </w:r>
    </w:p>
    <w:bookmarkEnd w:id="16"/>
    <w:bookmarkStart w:id="1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Origen digital de la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Preprocesamiento, analisis e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Uso del preprocesador.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Uso del modulo de analisis.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aplicado.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del informe final.</w:t>
            </w:r>
          </w:p>
        </w:tc>
      </w:tr>
    </w:tbl>
    <w:bookmarkEnd w:id="17"/>
    <w:bookmarkStart w:id="18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es instructivo de uso de aplicativos.</w:t>
      </w:r>
    </w:p>
    <w:p>
      <w:pPr>
        <w:pStyle w:val="Compact"/>
        <w:numPr>
          <w:ilvl w:val="0"/>
          <w:numId w:val="1003"/>
        </w:numPr>
      </w:pPr>
      <w:r>
        <w:t xml:space="preserve">No gobierna desarrollo, validacion o versionamiento de software.</w:t>
      </w:r>
    </w:p>
    <w:p>
      <w:pPr>
        <w:pStyle w:val="Compact"/>
        <w:numPr>
          <w:ilvl w:val="0"/>
          <w:numId w:val="1003"/>
        </w:numPr>
      </w:pPr>
      <w:r>
        <w:t xml:space="preserve">No define criterios estadisticos.</w:t>
      </w:r>
    </w:p>
    <w:p>
      <w:pPr>
        <w:pStyle w:val="Compact"/>
        <w:numPr>
          <w:ilvl w:val="0"/>
          <w:numId w:val="1003"/>
        </w:numPr>
      </w:pPr>
      <w:r>
        <w:t xml:space="preserve">No sustituye el control documental ni la matriz de registros conservados.</w:t>
      </w:r>
    </w:p>
    <w:bookmarkEnd w:id="18"/>
    <w:bookmarkEnd w:id="19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P-PSEA-08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FLUJO TECNICO DE DATOS DIGITALES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