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INFORMACIÓN GENERAL DEL PROCEDIMIENTO</w:t>
            </w:r>
          </w:p>
        </w:tc>
      </w:tr>
      <w:tr>
        <w:tc>
          <w:tcPr/>
          <w:p>
            <w:pPr>
              <w:pStyle w:val="Compact"/>
            </w:pPr>
            <w:r>
              <w:rPr>
                <w:b/>
                <w:bCs/>
              </w:rPr>
              <w:t xml:space="preserve">OBJETIVO:</w:t>
            </w:r>
            <w:r>
              <w:t xml:space="preserve"> </w:t>
            </w:r>
            <w:r>
              <w:t xml:space="preserve">Establecer las directrices, responsabilidades y actividades necesarias para la planificación y preparación de los Ensayos de Aptitud (EA) realizados por el Laboratorio CALAIRE, garantizando el cumplimiento de los requisitos establecidos en las normas ISO/IEC 17043:2023 e ISO 13528:2023, y asegurando la validez, imparcialidad y trazabilidad de los resultados.</w:t>
            </w:r>
          </w:p>
        </w:tc>
      </w:tr>
      <w:tr>
        <w:tc>
          <w:tcPr/>
          <w:p>
            <w:pPr>
              <w:pStyle w:val="Compact"/>
            </w:pPr>
            <w:r>
              <w:rPr>
                <w:b/>
                <w:bCs/>
              </w:rPr>
              <w:t xml:space="preserve">ALCANCE:</w:t>
            </w:r>
            <w:r>
              <w:t xml:space="preserve"> </w:t>
            </w:r>
            <w:r>
              <w:t xml:space="preserve">Este procedimiento aplica a todas las etapas de planificación previas al inicio de los ensayos de aptitud organizados por el Laboratorio CALAIRE, abarcando la definición de objetivos, diseño estadístico, selección de participantes, control de calidad, producción de ítems de ensayo, comunicación y gestión de riesgos</w:t>
            </w:r>
          </w:p>
        </w:tc>
      </w:tr>
      <w:tr>
        <w:tc>
          <w:tcPr/>
          <w:p>
            <w:pPr>
              <w:pStyle w:val="Compact"/>
            </w:pPr>
            <w:r>
              <w:rPr>
                <w:b/>
                <w:bCs/>
              </w:rPr>
              <w:t xml:space="preserve">DEFINICIONES:</w:t>
            </w:r>
            <w:r>
              <w:t xml:space="preserve"> </w:t>
            </w:r>
            <w:r>
              <w:t xml:space="preserve">Ensayo de Aptitud (EA): Evaluación del desempeño de un laboratorio mediante comparaciones interlaboratorios. Ítem de Ensayo: Atmósfera de gas contaminante criterio generada dinámicamente a partir de MRC o referencia fotométrica. Participante: Laboratorio que participa en el EA y reporta resultados conforme a los criterios establecidos.</w:t>
            </w:r>
          </w:p>
        </w:tc>
      </w:tr>
      <w:tr>
        <w:tc>
          <w:tcPr/>
          <w:p>
            <w:pPr>
              <w:pStyle w:val="Compact"/>
            </w:pPr>
            <w:r>
              <w:rPr>
                <w:b/>
                <w:bCs/>
              </w:rPr>
              <w:t xml:space="preserve">DOCUMENTOS DE REFERENCIA:</w:t>
            </w:r>
            <w:r>
              <w:t xml:space="preserve"> </w:t>
            </w:r>
            <w:r>
              <w:t xml:space="preserve">ISO-IEC 17043:2023 ISO-IEC 13528:2022 P-PSEA-02 Procedimiento de Ensayo de Aptitud para NO-NO2 P-PSEA-03 Procedimiento de Ensayo de Aptitud para CO P-PSEA-04 Procedimiento de Ensayo de Aptitud para O3 P-PSEA-05 Procedimiento de Ensayo de Aptitud para SO2 P-PSEA-06 Procedimiento de Elaboración de Informe de Resultados F-PSEA-01 Calendario TipoDG-PSEA-01-Protocolo Detallado Participación en EA de Gases Contaminantes Criterio</w:t>
            </w:r>
          </w:p>
        </w:tc>
      </w:tr>
      <w:tr>
        <w:tc>
          <w:tcPr/>
          <w:p>
            <w:pPr>
              <w:pStyle w:val="Compact"/>
            </w:pPr>
            <w:r>
              <w:rPr>
                <w:b/>
                <w:bCs/>
              </w:rPr>
              <w:t xml:space="preserve">CONDICIONES GENERALES:</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INFORMACIÓN ESPECÍFICA DEL PROCEDIMIENTO</w:t>
            </w:r>
          </w:p>
        </w:tc>
      </w:tr>
      <w:tr>
        <w:tc>
          <w:tcPr/>
          <w:p>
            <w:pPr>
              <w:pStyle w:val="Compact"/>
            </w:pPr>
            <w:r>
              <w:t xml:space="preserve">La planificación del Ensayo de Aptitud se documenta antes del inicio de cada ronda, siguiendo los literales a) a u) del presente numeral, conforme a los requisitos del apartado 7.2.1.3 de la ISO/IEC 17043:2023</w:t>
            </w:r>
            <w:r>
              <w:t xml:space="preserve"> </w:t>
            </w:r>
            <w:r>
              <w:rPr>
                <w:b/>
                <w:bCs/>
              </w:rPr>
              <w:t xml:space="preserve">a) Personal involucrado (6.2.6)</w:t>
            </w:r>
            <w:r>
              <w:t xml:space="preserve"> </w:t>
            </w:r>
            <w:r>
              <w:t xml:space="preserve">Se identifican los responsables directos de cada etapa:</w:t>
            </w:r>
            <w:r>
              <w:t xml:space="preserve"> </w:t>
            </w:r>
            <w:r>
              <w:rPr>
                <w:b/>
                <w:bCs/>
              </w:rPr>
              <w:t xml:space="preserve">Coordinador EA:</w:t>
            </w:r>
            <w:r>
              <w:t xml:space="preserve"> </w:t>
            </w:r>
            <w:r>
              <w:t xml:space="preserve">aprueba el diseño y verifica la disponibilidad de recursos.</w:t>
            </w:r>
            <w:r>
              <w:t xml:space="preserve"> </w:t>
            </w:r>
            <w:r>
              <w:rPr>
                <w:b/>
                <w:bCs/>
              </w:rPr>
              <w:t xml:space="preserve">Estadístico:</w:t>
            </w:r>
            <w:r>
              <w:t xml:space="preserve"> </w:t>
            </w:r>
            <w:r>
              <w:t xml:space="preserve">diseña el plan estadístico conforme a la ISO 13528 y valida los criterios de desempeño.</w:t>
            </w:r>
            <w:r>
              <w:t xml:space="preserve"> </w:t>
            </w:r>
            <w:r>
              <w:rPr>
                <w:b/>
                <w:bCs/>
              </w:rPr>
              <w:t xml:space="preserve">Ingeniero Operativo:</w:t>
            </w:r>
            <w:r>
              <w:t xml:space="preserve"> </w:t>
            </w:r>
            <w:r>
              <w:t xml:space="preserve">lidera la preparación de ítems, control de condiciones y montaje.</w:t>
            </w:r>
            <w:r>
              <w:t xml:space="preserve"> </w:t>
            </w:r>
            <w:r>
              <w:rPr>
                <w:b/>
                <w:bCs/>
              </w:rPr>
              <w:t xml:space="preserve">Experto en calidad del aire:</w:t>
            </w:r>
            <w:r>
              <w:t xml:space="preserve"> </w:t>
            </w:r>
            <w:r>
              <w:t xml:space="preserve">define los rangos de concentración y asegura la validez metrológica.</w:t>
            </w:r>
            <w:r>
              <w:t xml:space="preserve"> </w:t>
            </w:r>
            <w:r>
              <w:rPr>
                <w:b/>
                <w:bCs/>
              </w:rPr>
              <w:t xml:space="preserve">Profesional de Calidad:</w:t>
            </w:r>
            <w:r>
              <w:t xml:space="preserve"> </w:t>
            </w:r>
            <w:r>
              <w:t xml:space="preserve">garantiza el cumplimiento del sistema ISO 17025 y la imparcialidad.</w:t>
            </w:r>
            <w:r>
              <w:t xml:space="preserve"> </w:t>
            </w:r>
            <w:r>
              <w:rPr>
                <w:b/>
                <w:bCs/>
              </w:rPr>
              <w:t xml:space="preserve">Profesional de Proyectos:</w:t>
            </w:r>
            <w:r>
              <w:t xml:space="preserve"> </w:t>
            </w:r>
            <w:r>
              <w:t xml:space="preserve">es el enlace con participantes y garantiza la comunicación con ellos, así como la entrega de informes de resultados. Cada persona debe contar con</w:t>
            </w:r>
            <w:r>
              <w:t xml:space="preserve"> </w:t>
            </w:r>
            <w:r>
              <w:rPr>
                <w:b/>
                <w:bCs/>
              </w:rPr>
              <w:t xml:space="preserve">autorización formal y evidencia de competencia</w:t>
            </w:r>
            <w:r>
              <w:t xml:space="preserve"> </w:t>
            </w:r>
            <w:r>
              <w:t xml:space="preserve">técnica documentada en su perfil de cargo.</w:t>
            </w:r>
            <w:r>
              <w:t xml:space="preserve"> </w:t>
            </w:r>
            <w:r>
              <w:rPr>
                <w:b/>
                <w:bCs/>
              </w:rPr>
              <w:t xml:space="preserve">b) Actividades de proveedores externos</w:t>
            </w:r>
            <w:r>
              <w:t xml:space="preserve"> </w:t>
            </w:r>
            <w:r>
              <w:t xml:space="preserve">El Laboratorio CALAIRE declara que</w:t>
            </w:r>
            <w:r>
              <w:t xml:space="preserve"> </w:t>
            </w:r>
            <w:r>
              <w:rPr>
                <w:b/>
                <w:bCs/>
              </w:rPr>
              <w:t xml:space="preserve">todas las actividades</w:t>
            </w:r>
            <w:r>
              <w:t xml:space="preserve"> </w:t>
            </w:r>
            <w:r>
              <w:t xml:space="preserve">del EA se realizan internamente por personal propio del laboratorio.</w:t>
            </w:r>
            <w:r>
              <w:t xml:space="preserve"> </w:t>
            </w:r>
            <w:r>
              <w:rPr>
                <w:b/>
                <w:bCs/>
              </w:rPr>
              <w:t xml:space="preserve">No se utilizan servicios de subcontratistas</w:t>
            </w:r>
            <w:r>
              <w:t xml:space="preserve"> </w:t>
            </w:r>
            <w:r>
              <w:t xml:space="preserve">para ninguna actividad del programa de EA, incluyendo diseño y planificación, evaluación del rendimiento, y autorización de informes, de conformidad con el numeral</w:t>
            </w:r>
            <w:r>
              <w:t xml:space="preserve"> </w:t>
            </w:r>
            <w:r>
              <w:rPr>
                <w:b/>
                <w:bCs/>
              </w:rPr>
              <w:t xml:space="preserve">6.4.1 de ISO/IEC 17043:2023</w:t>
            </w:r>
            <w:r>
              <w:t xml:space="preserve">.</w:t>
            </w:r>
            <w:r>
              <w:t xml:space="preserve"> </w:t>
            </w:r>
            <w:r>
              <w:rPr>
                <w:b/>
                <w:bCs/>
              </w:rPr>
              <w:t xml:space="preserve">c) Criterios de participación</w:t>
            </w:r>
            <w:r>
              <w:t xml:space="preserve"> </w:t>
            </w:r>
            <w:r>
              <w:t xml:space="preserve">Los laboratorios participantes deben: Emplear métodos equivalentes o de referencia (US-EPA). Tener personal competente y equipos calibrados con trazabilidad metrológica. Disponer de estimaciones de incertidumbre asociadas a sus mediciones. Los criterios se comunican en la convocatoria formal. </w:t>
            </w:r>
            <w:r>
              <w:t xml:space="preserve"> </w:t>
            </w:r>
            <w:r>
              <w:rPr>
                <w:b/>
                <w:bCs/>
              </w:rPr>
              <w:t xml:space="preserve">d) Número y tipo de participantes</w:t>
            </w:r>
            <w:r>
              <w:t xml:space="preserve"> </w:t>
            </w:r>
            <w:r>
              <w:t xml:space="preserve">Se establece la</w:t>
            </w:r>
            <w:r>
              <w:t xml:space="preserve"> </w:t>
            </w:r>
            <w:r>
              <w:rPr>
                <w:b/>
                <w:bCs/>
              </w:rPr>
              <w:t xml:space="preserve">capacidad máxima</w:t>
            </w:r>
            <w:r>
              <w:t xml:space="preserve"> </w:t>
            </w:r>
            <w:r>
              <w:t xml:space="preserve">de instrumentos simultáneos según la infraestructura disponible para 6 instrumentos de participantes.Se garantiza</w:t>
            </w:r>
            <w:r>
              <w:t xml:space="preserve"> </w:t>
            </w:r>
            <w:r>
              <w:rPr>
                <w:b/>
                <w:bCs/>
              </w:rPr>
              <w:t xml:space="preserve">un solo instrumento por participante</w:t>
            </w:r>
            <w:r>
              <w:t xml:space="preserve"> </w:t>
            </w:r>
            <w:r>
              <w:t xml:space="preserve">para mantener la imparcialidad. El número mínimo recomendado es de</w:t>
            </w:r>
            <w:r>
              <w:t xml:space="preserve"> </w:t>
            </w:r>
            <w:r>
              <w:rPr>
                <w:b/>
                <w:bCs/>
              </w:rPr>
              <w:t xml:space="preserve">12 participantes</w:t>
            </w:r>
            <w:r>
              <w:t xml:space="preserve"> </w:t>
            </w:r>
            <w:r>
              <w:t xml:space="preserve">cuando se aplica estadística robusta (ISO 13528 §7.7).Cuando no se cumpla las condiciones, entonces se utilizan las otras métricas mediana para valor asignado, y niqr y/o made para sigma_pt. </w:t>
            </w:r>
            <w:r>
              <w:rPr>
                <w:b/>
                <w:bCs/>
              </w:rPr>
              <w:t xml:space="preserve">e) Actividades y resultados esperados</w:t>
            </w:r>
            <w:r>
              <w:t xml:space="preserve"> </w:t>
            </w:r>
            <w:r>
              <w:t xml:space="preserve">El plan incluye las actividades operativas del EA: Instalación y verificación de equipos. Medición de ítems de ensayo según protocolo técnico. Envío de resultados en formato digital (CSV o sistema en línea). Reporte de incertidumbre asociada. Asistencia a reunión de aclaraciones previa al EA. El resultado esperado es el conjunto de datos válidos que permitirán estimar el valor asignado, la desviación estándar y los indicadores de desempeño.</w:t>
            </w:r>
            <w:r>
              <w:t xml:space="preserve"> </w:t>
            </w:r>
            <w:r>
              <w:rPr>
                <w:b/>
                <w:bCs/>
              </w:rPr>
              <w:t xml:space="preserve">f) Rango esperado de valores</w:t>
            </w:r>
            <w:r>
              <w:t xml:space="preserve"> </w:t>
            </w:r>
            <w:r>
              <w:t xml:space="preserve">Se definen los</w:t>
            </w:r>
            <w:r>
              <w:t xml:space="preserve"> </w:t>
            </w:r>
            <w:r>
              <w:rPr>
                <w:b/>
                <w:bCs/>
              </w:rPr>
              <w:t xml:space="preserve">intervalos de concentración</w:t>
            </w:r>
            <w:r>
              <w:t xml:space="preserve"> </w:t>
            </w:r>
            <w:r>
              <w:t xml:space="preserve">esperados de los analitos según el tipo de gas:</w:t>
            </w:r>
            <w:r>
              <w:t xml:space="preserve"> </w:t>
            </w:r>
            <w:r>
              <w:rPr>
                <w:b/>
                <w:bCs/>
              </w:rPr>
              <w:t xml:space="preserve">Analito</w:t>
            </w:r>
            <w:r>
              <w:t xml:space="preserve"> </w:t>
            </w:r>
            <w:r>
              <w:rPr>
                <w:b/>
                <w:bCs/>
              </w:rPr>
              <w:t xml:space="preserve">Rango de concentración</w:t>
            </w:r>
            <w:r>
              <w:t xml:space="preserve"> </w:t>
            </w:r>
            <w:r>
              <w:t xml:space="preserve">SO₂, NO, NO₂, O₃ 0 – 500 nmol/mol (ppb) CO 0 – 10 umol/mol (ppm)</w:t>
            </w:r>
            <w:r>
              <w:t xml:space="preserve"> </w:t>
            </w:r>
            <w:r>
              <w:rPr>
                <w:b/>
                <w:bCs/>
              </w:rPr>
              <w:t xml:space="preserve">g) Fuentes potenciales de error</w:t>
            </w:r>
            <w:r>
              <w:t xml:space="preserve"> </w:t>
            </w:r>
            <w:r>
              <w:t xml:space="preserve">Se analizan mediante la metodología de gestión de riesgos ISO 31000. Principales fuentes: Inestabilidad o falta de homogeneidad del gas. Fugas, caídas de presión, fluctuaciones térmicas o humedad. Errores de calibración o interpretación. </w:t>
            </w:r>
            <w:r>
              <w:t xml:space="preserve"> </w:t>
            </w:r>
            <w:r>
              <w:rPr>
                <w:b/>
                <w:bCs/>
              </w:rPr>
              <w:t xml:space="preserve">h) Requisitos técnicos y de control</w:t>
            </w:r>
            <w:r>
              <w:t xml:space="preserve"> </w:t>
            </w:r>
            <w:r>
              <w:t xml:space="preserve">Los ítems de ensayo deben cumplir con: Uso de</w:t>
            </w:r>
            <w:r>
              <w:t xml:space="preserve"> </w:t>
            </w:r>
            <w:r>
              <w:rPr>
                <w:b/>
                <w:bCs/>
              </w:rPr>
              <w:t xml:space="preserve">materiales de referencia certificados (MRC)</w:t>
            </w:r>
            <w:r>
              <w:t xml:space="preserve"> </w:t>
            </w:r>
            <w:r>
              <w:t xml:space="preserve">vigentes. Generadores de ozono con fotómetro nivel 2. Manifold y líneas de teflón inertes y sin fugas. Control ambiental (temperatura, humedad, flujo y presión). Instrumentos de referencia calibrados y trazabilidad metrológica.  El control de calidad incluye pruebas de</w:t>
            </w:r>
            <w:r>
              <w:t xml:space="preserve"> </w:t>
            </w:r>
            <w:r>
              <w:rPr>
                <w:b/>
                <w:bCs/>
              </w:rPr>
              <w:t xml:space="preserve">homogeneidad y estabilidad</w:t>
            </w:r>
            <w:r>
              <w:t xml:space="preserve"> </w:t>
            </w:r>
            <w:r>
              <w:t xml:space="preserve">antes y durante el ensayo (ISO 13528 §6.1).</w:t>
            </w:r>
            <w:r>
              <w:t xml:space="preserve"> </w:t>
            </w:r>
            <w:r>
              <w:rPr>
                <w:b/>
                <w:bCs/>
              </w:rPr>
              <w:t xml:space="preserve">i) Prevención de colusión</w:t>
            </w:r>
            <w:r>
              <w:t xml:space="preserve"> </w:t>
            </w:r>
            <w:r>
              <w:t xml:space="preserve">Para evitar la colusión o el intercambio de información entre participantes: Se asigna un</w:t>
            </w:r>
            <w:r>
              <w:t xml:space="preserve"> </w:t>
            </w:r>
            <w:r>
              <w:rPr>
                <w:b/>
                <w:bCs/>
              </w:rPr>
              <w:t xml:space="preserve">código único</w:t>
            </w:r>
            <w:r>
              <w:t xml:space="preserve"> </w:t>
            </w:r>
            <w:r>
              <w:t xml:space="preserve">de identificación. Se restringe la visibilidad de displays durante las mediciones/desde la sala externa con escritorio remoto Se firma un</w:t>
            </w:r>
            <w:r>
              <w:t xml:space="preserve"> </w:t>
            </w:r>
            <w:r>
              <w:rPr>
                <w:b/>
                <w:bCs/>
              </w:rPr>
              <w:t xml:space="preserve">acuerdo de confidencialidad y ética</w:t>
            </w:r>
            <w:r>
              <w:t xml:space="preserve"> </w:t>
            </w:r>
            <w:r>
              <w:t xml:space="preserve">previo a la participación. Bajo sospecha de colusión y/o falsificación, se aplica el procedimiento P-PSEA-08 - </w:t>
            </w:r>
            <w:r>
              <w:t xml:space="preserve"> </w:t>
            </w:r>
            <w:r>
              <w:rPr>
                <w:b/>
                <w:bCs/>
              </w:rPr>
              <w:t xml:space="preserve">j) Información a suministrar / Cronograma</w:t>
            </w:r>
            <w:r>
              <w:t xml:space="preserve"> </w:t>
            </w:r>
            <w:r>
              <w:t xml:space="preserve">El organizador entrega a los participantes: Instrucciones técnicas e instructivo de transporte (I-PSEA-01). Cronograma detallado con fechas de montaje, medición y envío de resultados (F-PSEA-01). Rangos tentativos de concentración.La planificación considera tiempos realistas:</w:t>
            </w:r>
            <w:r>
              <w:rPr>
                <w:b/>
                <w:bCs/>
              </w:rPr>
              <w:t xml:space="preserve">Duración de medición:</w:t>
            </w:r>
            <w:r>
              <w:t xml:space="preserve"> </w:t>
            </w:r>
            <w:r>
              <w:t xml:space="preserve">3-4 días, incluyendo calibraciones y pruebas previas.</w:t>
            </w:r>
            <w:r>
              <w:t xml:space="preserve"> </w:t>
            </w:r>
            <w:r>
              <w:rPr>
                <w:b/>
                <w:bCs/>
              </w:rPr>
              <w:t xml:space="preserve">k) Frecuencia y plazos de reporte</w:t>
            </w:r>
            <w:r>
              <w:t xml:space="preserve"> </w:t>
            </w:r>
            <w:r>
              <w:t xml:space="preserve">Los EA se realizan</w:t>
            </w:r>
            <w:r>
              <w:t xml:space="preserve"> </w:t>
            </w:r>
            <w:r>
              <w:rPr>
                <w:b/>
                <w:bCs/>
              </w:rPr>
              <w:t xml:space="preserve">una vez por año</w:t>
            </w:r>
            <w:r>
              <w:t xml:space="preserve"> </w:t>
            </w:r>
            <w:r>
              <w:t xml:space="preserve">para cada grupo de analitos.Los resultados deben enviarse al organizador</w:t>
            </w:r>
            <w:r>
              <w:t xml:space="preserve"> </w:t>
            </w:r>
            <w:r>
              <w:rPr>
                <w:b/>
                <w:bCs/>
              </w:rPr>
              <w:t xml:space="preserve">dentro de los 15 días posteriores</w:t>
            </w:r>
            <w:r>
              <w:t xml:space="preserve"> </w:t>
            </w:r>
            <w:r>
              <w:t xml:space="preserve">a la finalización de las mediciones. (Informado en el F-PSEA-01)</w:t>
            </w:r>
            <w:r>
              <w:t xml:space="preserve"> </w:t>
            </w:r>
            <w:r>
              <w:rPr>
                <w:b/>
                <w:bCs/>
              </w:rPr>
              <w:t xml:space="preserve">l) Métodos y procedimientos</w:t>
            </w:r>
            <w:r>
              <w:t xml:space="preserve"> </w:t>
            </w:r>
            <w:r>
              <w:t xml:space="preserve">Los participantes deben: Usar métodos de referencia y/o equivalentes US-EPA. Realizar calibración multipunto y verificación de cero/span antes del EA. Cumplir con el</w:t>
            </w:r>
            <w:r>
              <w:t xml:space="preserve"> </w:t>
            </w:r>
            <w:r>
              <w:rPr>
                <w:b/>
                <w:bCs/>
              </w:rPr>
              <w:t xml:space="preserve">I-PSEA-01 Instructivo de Embalaje y Transporte</w:t>
            </w:r>
            <w:r>
              <w:t xml:space="preserve"> </w:t>
            </w:r>
            <w:r>
              <w:t xml:space="preserve">para manejo y disposición de ítems.</w:t>
            </w:r>
            <w:r>
              <w:t xml:space="preserve"> </w:t>
            </w:r>
            <w:r>
              <w:rPr>
                <w:b/>
                <w:bCs/>
              </w:rPr>
              <w:t xml:space="preserve">m) Pruebas de homogeneidad y estabilidad</w:t>
            </w:r>
            <w:r>
              <w:t xml:space="preserve"> </w:t>
            </w:r>
            <w:r>
              <w:t xml:space="preserve">Previas al inicio de la ronda, se efectúan pruebas según</w:t>
            </w:r>
            <w:r>
              <w:t xml:space="preserve"> </w:t>
            </w:r>
            <w:r>
              <w:rPr>
                <w:b/>
                <w:bCs/>
              </w:rPr>
              <w:t xml:space="preserve">ISO 13528 §6.1–6.2</w:t>
            </w:r>
            <w:r>
              <w:t xml:space="preserve">, verificando: Que la variación entre ítems sea &lt; 0,3σpt (criterio de homogeneidad). Que no existan cambios significativos entre los resultados iniciales y finales del periodo (criterio de estabilidad). Detallado en el Procedimiento de diseño estadístico P-PSEA-06</w:t>
            </w:r>
            <w:r>
              <w:t xml:space="preserve"> </w:t>
            </w:r>
            <w:r>
              <w:rPr>
                <w:b/>
                <w:bCs/>
              </w:rPr>
              <w:t xml:space="preserve">n) Formatos e informes</w:t>
            </w:r>
            <w:r>
              <w:t xml:space="preserve"> </w:t>
            </w:r>
            <w:r>
              <w:t xml:space="preserve">El reporte de resultados se realiza mediante plantillas electrónicas controladas en el sistema web del laboratorio, de acuerdo al procedimiento P-PSEA-07 El formato incluye campos para: Resultados medidos Unidades y número de cifras significativas Incertidumbre expandida Método empleado</w:t>
            </w:r>
            <w:r>
              <w:t xml:space="preserve"> </w:t>
            </w:r>
            <w:r>
              <w:rPr>
                <w:b/>
                <w:bCs/>
              </w:rPr>
              <w:t xml:space="preserve">o) Análisis estadístico</w:t>
            </w:r>
            <w:r>
              <w:t xml:space="preserve"> </w:t>
            </w:r>
            <w:r>
              <w:t xml:space="preserve">El valor asignado y la desviación estándar para la evaluación de la competencia (σpt) se determinan según</w:t>
            </w:r>
            <w:r>
              <w:t xml:space="preserve"> </w:t>
            </w:r>
            <w:r>
              <w:rPr>
                <w:b/>
                <w:bCs/>
              </w:rPr>
              <w:t xml:space="preserve">ISO 13528 §7.7</w:t>
            </w:r>
            <w:r>
              <w:t xml:space="preserve">: Si n ≥ 12: usar promedio robusto mediante algoritmo A. Si n &lt; 12: usar la mediana de resultados. El cálculo de desempeño se realiza mediante</w:t>
            </w:r>
            <w:r>
              <w:t xml:space="preserve"> </w:t>
            </w:r>
            <w:r>
              <w:rPr>
                <w:b/>
                <w:bCs/>
              </w:rPr>
              <w:t xml:space="preserve">z-score, z’-score o En-score</w:t>
            </w:r>
            <w:r>
              <w:t xml:space="preserve">, dependiendo del tipo de medición. Los cálculos se ejecutan en software validado y verificado. Cuando no se cumpla las condiciones, entonces se utilizan las otras métricas mediana para valor asignado, y niqr y/o made para sigma_pt. Detallado en el Procedimiento de diseño estadístico P-PSEA-06</w:t>
            </w:r>
            <w:r>
              <w:t xml:space="preserve"> </w:t>
            </w:r>
            <w:r>
              <w:rPr>
                <w:b/>
                <w:bCs/>
              </w:rPr>
              <w:t xml:space="preserve">p) Trazabilidad e incertidumbre</w:t>
            </w:r>
            <w:r>
              <w:t xml:space="preserve"> </w:t>
            </w:r>
            <w:r>
              <w:t xml:space="preserve">La trazabilidad del valor asignado se fundamenta en materiales de referencia certificados (ISO 17034) o comparaciones con laboratorios de referencia.La incertidumbre se estima según ISO 13528 §7.2. </w:t>
            </w:r>
            <w:r>
              <w:t xml:space="preserve"> </w:t>
            </w:r>
            <w:r>
              <w:rPr>
                <w:b/>
                <w:bCs/>
              </w:rPr>
              <w:t xml:space="preserve">q) Tratamiento de diferentes métodos</w:t>
            </w:r>
            <w:r>
              <w:t xml:space="preserve"> </w:t>
            </w:r>
            <w:r>
              <w:t xml:space="preserve">El Ensayo de aptitud está diseñado para métodos US-EPA, no aplica para métodos manuales y/o métodos de la unión europea.</w:t>
            </w:r>
            <w:r>
              <w:t xml:space="preserve"> </w:t>
            </w:r>
            <w:r>
              <w:rPr>
                <w:b/>
                <w:bCs/>
              </w:rPr>
              <w:t xml:space="preserve">r) Criterios de desempeño</w:t>
            </w:r>
            <w:r>
              <w:t xml:space="preserve"> </w:t>
            </w:r>
            <w:r>
              <w:t xml:space="preserve">Los criterios de evaluación se basan en la forma en que se determina el valor asignado concenso vs referencia Zeta-Score Error normalizado</w:t>
            </w:r>
            <w:r>
              <w:t xml:space="preserve"> </w:t>
            </w:r>
            <w:r>
              <w:rPr>
                <w:b/>
                <w:bCs/>
              </w:rPr>
              <w:t xml:space="preserve">s) Informes y comunicación de resultados</w:t>
            </w:r>
            <w:r>
              <w:t xml:space="preserve"> </w:t>
            </w:r>
            <w:r>
              <w:t xml:space="preserve">El organizador elabora:</w:t>
            </w:r>
            <w:r>
              <w:t xml:space="preserve"> </w:t>
            </w:r>
            <w:r>
              <w:rPr>
                <w:b/>
                <w:bCs/>
              </w:rPr>
              <w:t xml:space="preserve">Informe final</w:t>
            </w:r>
            <w:r>
              <w:t xml:space="preserve">: incluye resultados consolidados, valores asignados, gráficos, evaluadores de desempeño y su análisis. </w:t>
            </w:r>
            <w:r>
              <w:t xml:space="preserve"> </w:t>
            </w:r>
            <w:r>
              <w:rPr>
                <w:b/>
                <w:bCs/>
              </w:rPr>
              <w:t xml:space="preserve">t) Publicación y confidencialidad</w:t>
            </w:r>
            <w:r>
              <w:t xml:space="preserve"> </w:t>
            </w:r>
            <w:r>
              <w:t xml:space="preserve">Los resultados individuales son</w:t>
            </w:r>
            <w:r>
              <w:t xml:space="preserve"> </w:t>
            </w:r>
            <w:r>
              <w:rPr>
                <w:b/>
                <w:bCs/>
              </w:rPr>
              <w:t xml:space="preserve">confidenciales</w:t>
            </w:r>
            <w:r>
              <w:t xml:space="preserve">. [ADOPTAR LA RETENCIÓN, revisar si aplica ser entidad pública, revisar procedimiento de control de documentos y registros)El organizador puede publicar informes agregados sin identificación.La información puede ser remitida al</w:t>
            </w:r>
            <w:r>
              <w:t xml:space="preserve"> </w:t>
            </w:r>
            <w:r>
              <w:rPr>
                <w:b/>
                <w:bCs/>
              </w:rPr>
              <w:t xml:space="preserve">IDEAM</w:t>
            </w:r>
            <w:r>
              <w:t xml:space="preserve"> </w:t>
            </w:r>
            <w:r>
              <w:t xml:space="preserve">u organismos acreditadores, conforme a la política de confidencialidad del Laboratorio CALAIRE. --comentario incluir la confidencialidad en la comunicacion a participantes -–</w:t>
            </w:r>
            <w:r>
              <w:t xml:space="preserve"> </w:t>
            </w:r>
            <w:r>
              <w:rPr>
                <w:b/>
                <w:bCs/>
              </w:rPr>
              <w:t xml:space="preserve">u) Contingencias</w:t>
            </w:r>
            <w:r>
              <w:t xml:space="preserve"> </w:t>
            </w:r>
            <w:r>
              <w:t xml:space="preserve">En caso de daño o inestabilidad de ítems: Se activa el plan de acción definido en el</w:t>
            </w:r>
            <w:r>
              <w:t xml:space="preserve"> </w:t>
            </w:r>
            <w:r>
              <w:rPr>
                <w:b/>
                <w:bCs/>
              </w:rPr>
              <w:t xml:space="preserve">análisis de riesgos del EA</w:t>
            </w:r>
            <w:r>
              <w:t xml:space="preserve">. Se evalúa la posibilidad de repetir la medición o reprogramar la ronda. Toda incidencia se documenta como</w:t>
            </w:r>
            <w:r>
              <w:t xml:space="preserve"> </w:t>
            </w:r>
            <w:r>
              <w:rPr>
                <w:b/>
                <w:bCs/>
              </w:rPr>
              <w:t xml:space="preserve">trabajo no conforme</w:t>
            </w:r>
            <w:r>
              <w:t xml:space="preserve"> </w:t>
            </w:r>
            <w:r>
              <w:t xml:space="preserve">y se analiza su impacto en la validez del EA.</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REVISÓ</w:t>
            </w:r>
          </w:p>
        </w:tc>
        <w:tc>
          <w:tcPr/>
          <w:p>
            <w:pPr>
              <w:pStyle w:val="Compact"/>
            </w:pPr>
          </w:p>
        </w:tc>
        <w:tc>
          <w:tcPr/>
          <w:p>
            <w:pPr>
              <w:pStyle w:val="Compact"/>
              <w:jc w:val="left"/>
            </w:pPr>
            <w:r>
              <w:t xml:space="preserve">APROBÓ</w:t>
            </w:r>
          </w:p>
        </w:tc>
        <w:tc>
          <w:tcPr/>
          <w:p>
            <w:pPr>
              <w:pStyle w:val="Compact"/>
            </w:pPr>
          </w:p>
        </w:tc>
      </w:tr>
      <w:tr>
        <w:tc>
          <w:tcPr/>
          <w:p>
            <w:pPr>
              <w:pStyle w:val="Compact"/>
            </w:pPr>
            <w:r>
              <w:rPr>
                <w:b/>
                <w:bCs/>
              </w:rPr>
              <w:t xml:space="preserve">ROL</w:t>
            </w:r>
          </w:p>
        </w:tc>
        <w:tc>
          <w:tcPr/>
          <w:p>
            <w:pPr>
              <w:pStyle w:val="Compact"/>
            </w:pPr>
          </w:p>
        </w:tc>
        <w:tc>
          <w:tcPr/>
          <w:p>
            <w:pPr>
              <w:pStyle w:val="Compact"/>
              <w:jc w:val="left"/>
            </w:pPr>
            <w:r>
              <w:rPr>
                <w:b/>
                <w:bCs/>
              </w:rPr>
              <w:t xml:space="preserve">ROL</w:t>
            </w:r>
          </w:p>
        </w:tc>
        <w:tc>
          <w:tcPr/>
          <w:p>
            <w:pPr>
              <w:pStyle w:val="Compact"/>
            </w:pPr>
          </w:p>
        </w:tc>
      </w:tr>
      <w:tr>
        <w:tc>
          <w:tcPr/>
          <w:p>
            <w:pPr>
              <w:pStyle w:val="Compact"/>
            </w:pPr>
            <w:r>
              <w:rPr>
                <w:b/>
                <w:bCs/>
              </w:rPr>
              <w:t xml:space="preserve">FECHA</w:t>
            </w:r>
          </w:p>
        </w:tc>
        <w:tc>
          <w:tcPr/>
          <w:p>
            <w:pPr>
              <w:pStyle w:val="Compact"/>
            </w:pPr>
          </w:p>
        </w:tc>
        <w:tc>
          <w:tcPr/>
          <w:p>
            <w:pPr>
              <w:pStyle w:val="Compact"/>
              <w:jc w:val="left"/>
            </w:pPr>
            <w:r>
              <w:rPr>
                <w:b/>
                <w:bCs/>
              </w:rPr>
              <w:t xml:space="preserve">FECHA</w:t>
            </w:r>
          </w:p>
        </w:tc>
        <w:tc>
          <w:tcPr/>
          <w:p>
            <w:pPr>
              <w:pStyle w:val="Compact"/>
            </w:pPr>
          </w:p>
        </w:tc>
      </w:tr>
    </w:tbl>
    <w:sectPr>
      <w:headerReference r:id="rId2" w:type="default"/>
      <w:type w:val="nextPage"/>
      <w:pgSz w:h="12240" w:orient="landscape" w:w="15840"/>
      <w:pgMar w:bottom="720" w:footer="0" w:gutter="0" w:header="709" w:left="720" w:right="720" w:top="765"/>
      <w:pgNumType w:fmt="decimal"/>
      <w:formProt w:val="false"/>
      <w:textDirection w:val="lrTb"/>
      <w:docGrid w:charSpace="0" w:linePitch="36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Georgia">
    <w:charset w:val="00" w:characterSet="windows-1252"/>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4630" w:type="dxa"/>
      <w:jc w:val="center"/>
      <w:tblInd w:w="0" w:type="dxa"/>
      <w:tblLayout w:type="fixed"/>
      <w:tblCellMar>
        <w:top w:w="0" w:type="dxa"/>
        <w:start w:w="108" w:type="dxa"/>
        <w:bottom w:w="0" w:type="dxa"/>
        <w:end w:w="108" w:type="dxa"/>
      </w:tblCellMar>
    </w:tblPr>
    <w:tblGrid>
      <w:gridCol w:w="2524"/>
      <w:gridCol w:w="9072"/>
      <w:gridCol w:w="3034"/>
    </w:tblGrid>
    <w:tr>
      <w:trPr/>
      <w:tc>
        <w:tcPr>
          <w:tcW w:w="2524"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lang w:val="en-US" w:eastAsia="en-US"/>
            </w:rPr>
            <w:drawing>
              <wp:inline distT="0" distB="0" distL="0" distR="0">
                <wp:extent cx="1346200" cy="6216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rcRect l="-11" t="-24" r="-11" b="-24"/>
                        <a:stretch>
                          <a:fillRect/>
                        </a:stretch>
                      </pic:blipFill>
                      <pic:spPr bwMode="auto">
                        <a:xfrm>
                          <a:off x="0" y="0"/>
                          <a:ext cx="1346200" cy="621665"/>
                        </a:xfrm>
                        <a:prstGeom prst="rect">
                          <a:avLst/>
                        </a:prstGeom>
                        <a:noFill/>
                      </pic:spPr>
                    </pic:pic>
                  </a:graphicData>
                </a:graphic>
              </wp:inline>
            </w:drawing>
          </w:r>
        </w:p>
      </w:tc>
      <w:tc>
        <w:tcPr>
          <w:tcW w:w="9072" w:type="dxa"/>
          <w:vMerge w:val="restart"/>
          <w:tcBorders>
            <w:top w:val="single" w:sz="4" w:space="0" w:color="000000"/>
            <w:start w:val="single" w:sz="4" w:space="0" w:color="000000"/>
            <w:bottom w:val="single" w:sz="4" w:space="0" w:color="000000"/>
            <w:end w:val="single" w:sz="4" w:space="0" w:color="000000"/>
          </w:tcBorders>
          <w:vAlign w:val="center"/>
        </w:tcPr>
        <w:p>
          <w:pPr>
            <w:pStyle w:val="Header"/>
            <w:jc w:val="center"/>
            <w:rPr>
              <w:rFonts w:ascii="Arial" w:hAnsi="Arial" w:cs="Arial"/>
              <w:sz w:val="20"/>
              <w:szCs w:val="20"/>
            </w:rPr>
          </w:pPr>
          <w:r>
            <w:rPr>
              <w:rFonts w:cs="Arial" w:ascii="Arial" w:hAnsi="Arial"/>
              <w:b/>
              <w:sz w:val="20"/>
              <w:szCs w:val="20"/>
            </w:rPr>
            <w:t>LABORATORIO DE CALIDAD DEL AIRE</w:t>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20"/>
            </w:rPr>
          </w:pPr>
          <w:r>
            <w:rPr>
              <w:rFonts w:cs="Arial" w:ascii="Arial" w:hAnsi="Arial"/>
              <w:b/>
              <w:sz w:val="20"/>
              <w:szCs w:val="20"/>
            </w:rPr>
            <w:t>Código: P-PSEA-09</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sz w:val="20"/>
              <w:szCs w:val="20"/>
            </w:rPr>
          </w:pPr>
          <w:r>
            <w:rPr>
              <w:rFonts w:cs="Arial" w:ascii="Arial" w:hAnsi="Arial"/>
              <w:sz w:val="20"/>
              <w:szCs w:val="20"/>
            </w:rPr>
          </w:r>
        </w:p>
      </w:tc>
      <w:tc>
        <w:tcPr>
          <w:tcW w:w="3034" w:type="dxa"/>
          <w:tcBorders>
            <w:top w:val="single" w:sz="4" w:space="0" w:color="000000"/>
            <w:start w:val="single" w:sz="4" w:space="0" w:color="000000"/>
            <w:bottom w:val="single" w:sz="4" w:space="0" w:color="000000"/>
            <w:end w:val="single" w:sz="4" w:space="0" w:color="000000"/>
          </w:tcBorders>
          <w:vAlign w:val="bottom"/>
        </w:tcPr>
        <w:p>
          <w:pPr>
            <w:pStyle w:val="Header"/>
            <w:rPr>
              <w:rFonts w:ascii="Arial" w:hAnsi="Arial" w:cs="Arial"/>
              <w:b/>
              <w:sz w:val="20"/>
              <w:szCs w:val="16"/>
            </w:rPr>
          </w:pPr>
          <w:r>
            <w:rPr>
              <w:rFonts w:cs="Arial" w:ascii="Arial" w:hAnsi="Arial"/>
              <w:b/>
              <w:sz w:val="20"/>
              <w:szCs w:val="16"/>
            </w:rPr>
            <w:t>Versión: 01</w:t>
          </w:r>
        </w:p>
      </w:tc>
    </w:tr>
    <w:tr>
      <w:trPr/>
      <w:tc>
        <w:tcPr>
          <w:tcW w:w="2524" w:type="dxa"/>
          <w:vMerge w:val="continue"/>
          <w:tcBorders>
            <w:top w:val="single" w:sz="4" w:space="0" w:color="000000"/>
            <w:start w:val="single" w:sz="4" w:space="0" w:color="000000"/>
            <w:bottom w:val="single" w:sz="4" w:space="0" w:color="000000"/>
            <w:end w:val="single" w:sz="4" w:space="0" w:color="000000"/>
          </w:tcBorders>
          <w:vAlign w:val="center"/>
        </w:tcPr>
        <w:p>
          <w:pPr>
            <w:pStyle w:val="Header"/>
            <w:snapToGrid w:val="false"/>
            <w:rPr>
              <w:rFonts w:ascii="Arial" w:hAnsi="Arial" w:cs="Arial"/>
              <w:b/>
              <w:sz w:val="20"/>
              <w:szCs w:val="20"/>
            </w:rPr>
          </w:pPr>
          <w:r>
            <w:rPr>
              <w:rFonts w:cs="Arial" w:ascii="Arial" w:hAnsi="Arial"/>
              <w:b/>
              <w:sz w:val="20"/>
              <w:szCs w:val="20"/>
            </w:rPr>
          </w:r>
        </w:p>
      </w:tc>
      <w:tc>
        <w:tcPr>
          <w:tcW w:w="9072" w:type="dxa"/>
          <w:tcBorders>
            <w:top w:val="single" w:sz="4" w:space="0" w:color="000000"/>
            <w:start w:val="single" w:sz="4" w:space="0" w:color="000000"/>
            <w:bottom w:val="single" w:sz="4" w:space="0" w:color="000000"/>
            <w:end w:val="single" w:sz="4" w:space="0" w:color="000000"/>
          </w:tcBorders>
          <w:vAlign w:val="center"/>
        </w:tcPr>
        <w:p>
          <w:pPr>
            <w:pStyle w:val="Header"/>
            <w:spacing w:before="120" w:after="120"/>
            <w:jc w:val="center"/>
            <w:rPr>
              <w:rFonts w:ascii="Arial" w:hAnsi="Arial" w:cs="Arial"/>
              <w:sz w:val="20"/>
              <w:szCs w:val="20"/>
            </w:rPr>
          </w:pPr>
          <w:r>
            <w:rPr>
              <w:rFonts w:cs="Arial" w:ascii="Arial" w:hAnsi="Arial"/>
              <w:b/>
              <w:sz w:val="20"/>
              <w:szCs w:val="20"/>
            </w:rPr>
            <w:t>GENERACION EMISION DEL INFORME DE RESULTADOS</w:t>
          </w:r>
        </w:p>
      </w:tc>
      <w:tc>
        <w:tcPr>
          <w:tcW w:w="3034" w:type="dxa"/>
          <w:tcBorders>
            <w:top w:val="single" w:sz="4" w:space="0" w:color="000000"/>
            <w:start w:val="single" w:sz="4" w:space="0" w:color="000000"/>
            <w:bottom w:val="single" w:sz="4" w:space="0" w:color="000000"/>
            <w:end w:val="single" w:sz="4" w:space="0" w:color="000000"/>
          </w:tcBorders>
          <w:vAlign w:val="center"/>
        </w:tcPr>
        <w:p>
          <w:pPr>
            <w:pStyle w:val="Header"/>
            <w:rPr>
              <w:rFonts w:ascii="Arial" w:hAnsi="Arial" w:cs="Arial"/>
              <w:b/>
              <w:sz w:val="20"/>
              <w:szCs w:val="20"/>
            </w:rPr>
          </w:pPr>
          <w:r>
            <w:rPr>
              <w:rFonts w:cs="Arial" w:ascii="Arial" w:hAnsi="Arial"/>
              <w:b/>
              <w:sz w:val="20"/>
              <w:szCs w:val="16"/>
            </w:rPr>
            <w:t xml:space="preserve">Página </w:t>
          </w:r>
          <w:r>
            <w:rPr>
              <w:rFonts w:cs="Arial" w:ascii="Arial" w:hAnsi="Arial"/>
              <w:b/>
              <w:sz w:val="20"/>
              <w:szCs w:val="16"/>
            </w:rPr>
            <w:fldChar w:fldCharType="begin"/>
          </w:r>
          <w:r>
            <w:rPr>
              <w:rFonts w:cs="Arial" w:ascii="Arial" w:hAnsi="Arial"/>
              <w:b/>
              <w:sz w:val="20"/>
              <w:szCs w:val="16"/>
            </w:rPr>
            <w:instrText xml:space="preserve"> PAGE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r>
            <w:rPr>
              <w:rFonts w:cs="Arial" w:ascii="Arial" w:hAnsi="Arial"/>
              <w:b/>
              <w:sz w:val="20"/>
              <w:szCs w:val="16"/>
            </w:rPr>
            <w:t xml:space="preserve"> de </w:t>
          </w:r>
          <w:r>
            <w:rPr>
              <w:rFonts w:cs="Arial" w:ascii="Arial" w:hAnsi="Arial"/>
              <w:b/>
              <w:sz w:val="20"/>
              <w:szCs w:val="16"/>
            </w:rPr>
            <w:fldChar w:fldCharType="begin"/>
          </w:r>
          <w:r>
            <w:rPr>
              <w:rFonts w:cs="Arial" w:ascii="Arial" w:hAnsi="Arial"/>
              <w:b/>
              <w:sz w:val="20"/>
              <w:szCs w:val="16"/>
            </w:rPr>
            <w:instrText xml:space="preserve"> NUMPAGES \* ARABIC </w:instrText>
          </w:r>
          <w:r>
            <w:rPr>
              <w:rFonts w:cs="Arial" w:ascii="Arial" w:hAnsi="Arial"/>
              <w:b/>
              <w:sz w:val="20"/>
              <w:szCs w:val="16"/>
            </w:rPr>
            <w:fldChar w:fldCharType="separate"/>
          </w:r>
          <w:r>
            <w:rPr>
              <w:rFonts w:cs="Arial" w:ascii="Arial" w:hAnsi="Arial"/>
              <w:b/>
              <w:sz w:val="20"/>
              <w:szCs w:val="16"/>
            </w:rPr>
            <w:t>1</w:t>
          </w:r>
          <w:r>
            <w:rPr>
              <w:rFonts w:cs="Arial" w:ascii="Arial" w:hAnsi="Arial"/>
              <w:b/>
              <w:sz w:val="20"/>
              <w:szCs w:val="16"/>
            </w:rPr>
            <w:fldChar w:fldCharType="end"/>
          </w:r>
        </w:p>
      </w:tc>
    </w:tr>
  </w:tbl>
  <w:p>
    <w:pPr>
      <w:pStyle w:val="Header"/>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pStyle w:val="Heading1"/>
      <w:suff w:val="nothing"/>
      <w:lvlText w:val=""/>
      <w:lvlJc w:val="start"/>
      <w:pPr>
        <w:tabs>
          <w:tab w:pos="0" w:val="num"/>
        </w:tabs>
        <w:ind w:hanging="0" w:start="0"/>
      </w:pPr>
    </w:lvl>
    <w:lvl w:ilvl="1">
      <w:start w:val="1"/>
      <w:numFmt w:val="none"/>
      <w:pStyle w:val="Heading2"/>
      <w:suff w:val="nothing"/>
      <w:lvlText w:val=""/>
      <w:lvlJc w:val="start"/>
      <w:pPr>
        <w:tabs>
          <w:tab w:pos="0" w:val="num"/>
        </w:tabs>
        <w:ind w:hanging="0" w:start="0"/>
      </w:pPr>
    </w:lvl>
    <w:lvl w:ilvl="2">
      <w:start w:val="1"/>
      <w:numFmt w:val="none"/>
      <w:pStyle w:val="Heading3"/>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2">
    <w:lvl w:ilvl="0">
      <w:start w:val="1"/>
      <w:numFmt w:val="decimal"/>
      <w:lvlText w:val="%1."/>
      <w:lvlJc w:val="start"/>
      <w:pPr>
        <w:tabs>
          <w:tab w:pos="0" w:val="num"/>
        </w:tabs>
        <w:ind w:hanging="360" w:start="360"/>
      </w:pPr>
      <w:rPr>
        <w:b/>
        <w:i w:val="false"/>
      </w:rPr>
    </w:lvl>
    <w:lvl w:ilvl="1">
      <w:start w:val="1"/>
      <w:numFmt w:val="decimal"/>
      <w:lvlText w:val="%1.%2."/>
      <w:lvlJc w:val="start"/>
      <w:pPr>
        <w:tabs>
          <w:tab w:pos="0" w:val="num"/>
        </w:tabs>
        <w:ind w:hanging="432" w:start="792"/>
      </w:pPr>
      <w:rPr>
        <w:b/>
      </w:rPr>
    </w:lvl>
    <w:lvl w:ilvl="2">
      <w:start w:val="1"/>
      <w:numFmt w:val="decimal"/>
      <w:lvlText w:val="%1.%2.%3."/>
      <w:lvlJc w:val="start"/>
      <w:pPr>
        <w:tabs>
          <w:tab w:pos="0" w:val="num"/>
        </w:tabs>
        <w:ind w:hanging="504" w:start="1224"/>
      </w:pPr>
      <w:rPr>
        <w:b/>
      </w:rPr>
    </w:lvl>
    <w:lvl w:ilvl="3">
      <w:start w:val="1"/>
      <w:numFmt w:val="decimal"/>
      <w:lvlText w:val="%1.%2.%3.%4."/>
      <w:lvlJc w:val="start"/>
      <w:pPr>
        <w:tabs>
          <w:tab w:pos="0" w:val="num"/>
        </w:tabs>
        <w:ind w:hanging="648" w:start="1728"/>
      </w:pPr>
    </w:lvl>
    <w:lvl w:ilvl="4">
      <w:start w:val="1"/>
      <w:numFmt w:val="decimal"/>
      <w:lvlText w:val="%1.%2.%3.%4.%5."/>
      <w:lvlJc w:val="start"/>
      <w:pPr>
        <w:tabs>
          <w:tab w:pos="0" w:val="num"/>
        </w:tabs>
        <w:ind w:hanging="792" w:start="2232"/>
      </w:pPr>
    </w:lvl>
    <w:lvl w:ilvl="5">
      <w:start w:val="1"/>
      <w:numFmt w:val="decimal"/>
      <w:lvlText w:val="%1.%2.%3.%4.%5.%6."/>
      <w:lvlJc w:val="start"/>
      <w:pPr>
        <w:tabs>
          <w:tab w:pos="0" w:val="num"/>
        </w:tabs>
        <w:ind w:hanging="936" w:start="2736"/>
      </w:pPr>
    </w:lvl>
    <w:lvl w:ilvl="6">
      <w:start w:val="1"/>
      <w:numFmt w:val="decimal"/>
      <w:lvlText w:val="%1.%2.%3.%4.%5.%6.%7."/>
      <w:lvlJc w:val="start"/>
      <w:pPr>
        <w:tabs>
          <w:tab w:pos="0" w:val="num"/>
        </w:tabs>
        <w:ind w:hanging="1080" w:start="3240"/>
      </w:pPr>
    </w:lvl>
    <w:lvl w:ilvl="7">
      <w:start w:val="1"/>
      <w:numFmt w:val="decimal"/>
      <w:lvlText w:val="%1.%2.%3.%4.%5.%6.%7.%8."/>
      <w:lvlJc w:val="start"/>
      <w:pPr>
        <w:tabs>
          <w:tab w:pos="0" w:val="num"/>
        </w:tabs>
        <w:ind w:hanging="1224" w:start="3744"/>
      </w:pPr>
    </w:lvl>
    <w:lvl w:ilvl="8">
      <w:start w:val="1"/>
      <w:numFmt w:val="decimal"/>
      <w:lvlText w:val="%1.%2.%3.%4.%5.%6.%7.%8.%9."/>
      <w:lvlJc w:val="start"/>
      <w:pPr>
        <w:tabs>
          <w:tab w:pos="0" w:val="num"/>
        </w:tabs>
        <w:ind w:hanging="1440" w:star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08"/>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BreakWrappedTables/>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Liberation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bidi w:val="0"/>
    </w:pPr>
    <w:rPr>
      <w:rFonts w:ascii="Times New Roman" w:cs="Times New Roman" w:eastAsia="Times New Roman" w:hAnsi="Times New Roman"/>
      <w:color w:val="auto"/>
      <w:sz w:val="24"/>
      <w:szCs w:val="24"/>
      <w:lang w:bidi="ar-SA" w:eastAsia="zh-CN" w:val="es-ES"/>
    </w:rPr>
  </w:style>
  <w:style w:styleId="Heading1" w:type="paragraph">
    <w:name w:val="heading 1"/>
    <w:basedOn w:val="Normal"/>
    <w:next w:val="Normal"/>
    <w:qFormat/>
    <w:pPr>
      <w:keepNext w:val="true"/>
      <w:numPr>
        <w:ilvl w:val="0"/>
        <w:numId w:val="1"/>
      </w:numPr>
      <w:spacing w:after="60" w:before="240"/>
      <w:outlineLvl w:val="0"/>
    </w:pPr>
    <w:rPr>
      <w:rFonts w:ascii="Arial" w:cs="Arial" w:hAnsi="Arial"/>
      <w:b/>
      <w:bCs/>
      <w:kern w:val="2"/>
      <w:sz w:val="32"/>
      <w:szCs w:val="32"/>
    </w:rPr>
  </w:style>
  <w:style w:styleId="Heading2" w:type="paragraph">
    <w:name w:val="heading 2"/>
    <w:basedOn w:val="Normal"/>
    <w:next w:val="Normal"/>
    <w:qFormat/>
    <w:pPr>
      <w:keepNext w:val="true"/>
      <w:numPr>
        <w:ilvl w:val="1"/>
        <w:numId w:val="1"/>
      </w:numPr>
      <w:spacing w:after="60" w:before="240"/>
      <w:outlineLvl w:val="1"/>
    </w:pPr>
    <w:rPr>
      <w:rFonts w:ascii="Aptos Display" w:cs="Times New Roman" w:eastAsia="Times New Roman" w:hAnsi="Aptos Display"/>
      <w:b/>
      <w:bCs/>
      <w:i/>
      <w:iCs/>
      <w:sz w:val="28"/>
      <w:szCs w:val="28"/>
    </w:rPr>
  </w:style>
  <w:style w:styleId="Heading3" w:type="paragraph">
    <w:name w:val="heading 3"/>
    <w:basedOn w:val="Normal"/>
    <w:next w:val="Normal"/>
    <w:qFormat/>
    <w:pPr>
      <w:keepNext w:val="true"/>
      <w:numPr>
        <w:ilvl w:val="2"/>
        <w:numId w:val="1"/>
      </w:numPr>
      <w:spacing w:after="60" w:before="240"/>
      <w:outlineLvl w:val="2"/>
    </w:pPr>
    <w:rPr>
      <w:rFonts w:ascii="Calibri Light" w:cs="Times New Roman" w:eastAsia="Times New Roman" w:hAnsi="Calibri Light"/>
      <w:b/>
      <w:bCs/>
      <w:sz w:val="26"/>
      <w:szCs w:val="26"/>
    </w:rPr>
  </w:style>
  <w:style w:styleId="WW8Num1z0" w:type="character">
    <w:name w:val="WW8Num1z0"/>
    <w:qFormat/>
    <w:rPr>
      <w:rFonts w:ascii="Symbol" w:cs="Symbol" w:hAnsi="Symbol"/>
    </w:rPr>
  </w:style>
  <w:style w:styleId="WW8Num1z2" w:type="character">
    <w:name w:val="WW8Num1z2"/>
    <w:qFormat/>
    <w:rPr>
      <w:rFonts w:ascii="Courier New" w:cs="Courier New" w:hAnsi="Courier New"/>
    </w:rPr>
  </w:style>
  <w:style w:styleId="WW8Num1z3" w:type="character">
    <w:name w:val="WW8Num1z3"/>
    <w:qFormat/>
    <w:rPr>
      <w:rFonts w:ascii="Wingdings" w:cs="Wingdings" w:hAnsi="Wingdings"/>
    </w:rPr>
  </w:style>
  <w:style w:styleId="WW8Num2z0" w:type="character">
    <w:name w:val="WW8Num2z0"/>
    <w:qFormat/>
    <w:rPr>
      <w:rFonts w:ascii="Symbol" w:cs="Symbol" w:hAnsi="Symbol"/>
    </w:rPr>
  </w:style>
  <w:style w:styleId="WW8Num2z1" w:type="character">
    <w:name w:val="WW8Num2z1"/>
    <w:qFormat/>
    <w:rPr>
      <w:rFonts w:ascii="Courier New" w:cs="Courier New" w:hAnsi="Courier New"/>
    </w:rPr>
  </w:style>
  <w:style w:styleId="WW8Num2z2" w:type="character">
    <w:name w:val="WW8Num2z2"/>
    <w:qFormat/>
    <w:rPr>
      <w:rFonts w:ascii="Wingdings" w:cs="Wingdings" w:hAnsi="Wingdings"/>
    </w:rPr>
  </w:style>
  <w:style w:styleId="WW8Num3z0" w:type="character">
    <w:name w:val="WW8Num3z0"/>
    <w:qFormat/>
    <w:rPr>
      <w:rFonts w:ascii="Symbol" w:cs="Symbol" w:hAnsi="Symbol"/>
    </w:rPr>
  </w:style>
  <w:style w:styleId="WW8Num3z1" w:type="character">
    <w:name w:val="WW8Num3z1"/>
    <w:qFormat/>
    <w:rPr>
      <w:rFonts w:ascii="Courier New" w:cs="Courier New" w:hAnsi="Courier New"/>
    </w:rPr>
  </w:style>
  <w:style w:styleId="WW8Num3z2" w:type="character">
    <w:name w:val="WW8Num3z2"/>
    <w:qFormat/>
    <w:rPr>
      <w:rFonts w:ascii="Wingdings" w:cs="Wingdings" w:hAnsi="Wingdings"/>
    </w:rPr>
  </w:style>
  <w:style w:styleId="WW8Num4z0" w:type="character">
    <w:name w:val="WW8Num4z0"/>
    <w:qFormat/>
    <w:rPr>
      <w:b/>
    </w:rPr>
  </w:style>
  <w:style w:styleId="WW8Num6z1" w:type="character">
    <w:name w:val="WW8Num6z1"/>
    <w:qFormat/>
    <w:rPr>
      <w:b w:val="false"/>
    </w:rPr>
  </w:style>
  <w:style w:styleId="WW8Num7z0" w:type="character">
    <w:name w:val="WW8Num7z0"/>
    <w:qFormat/>
    <w:rPr>
      <w:b/>
    </w:rPr>
  </w:style>
  <w:style w:styleId="WW8Num8z0" w:type="character">
    <w:name w:val="WW8Num8z0"/>
    <w:qFormat/>
    <w:rPr>
      <w:rFonts w:ascii="Symbol" w:cs="Symbol" w:hAnsi="Symbol"/>
    </w:rPr>
  </w:style>
  <w:style w:styleId="WW8Num8z1" w:type="character">
    <w:name w:val="WW8Num8z1"/>
    <w:qFormat/>
    <w:rPr>
      <w:rFonts w:ascii="Courier New" w:cs="Courier New" w:hAnsi="Courier New"/>
    </w:rPr>
  </w:style>
  <w:style w:styleId="WW8Num8z2" w:type="character">
    <w:name w:val="WW8Num8z2"/>
    <w:qFormat/>
    <w:rPr>
      <w:rFonts w:ascii="Wingdings" w:cs="Wingdings" w:hAnsi="Wingdings"/>
    </w:rPr>
  </w:style>
  <w:style w:styleId="WW8Num9z0" w:type="character">
    <w:name w:val="WW8Num9z0"/>
    <w:qFormat/>
    <w:rPr>
      <w:rFonts w:ascii="Symbol" w:cs="Symbol" w:hAnsi="Symbol"/>
    </w:rPr>
  </w:style>
  <w:style w:styleId="WW8Num9z1" w:type="character">
    <w:name w:val="WW8Num9z1"/>
    <w:qFormat/>
    <w:rPr>
      <w:rFonts w:ascii="Courier New" w:cs="Courier New" w:hAnsi="Courier New"/>
    </w:rPr>
  </w:style>
  <w:style w:styleId="WW8Num9z2" w:type="character">
    <w:name w:val="WW8Num9z2"/>
    <w:qFormat/>
    <w:rPr>
      <w:rFonts w:ascii="Wingdings" w:cs="Wingdings" w:hAnsi="Wingdings"/>
    </w:rPr>
  </w:style>
  <w:style w:styleId="WW8Num11z0" w:type="character">
    <w:name w:val="WW8Num11z0"/>
    <w:qFormat/>
    <w:rPr>
      <w:b/>
    </w:rPr>
  </w:style>
  <w:style w:styleId="WW8Num12z0" w:type="character">
    <w:name w:val="WW8Num12z0"/>
    <w:qFormat/>
    <w:rPr>
      <w:b w:val="false"/>
    </w:rPr>
  </w:style>
  <w:style w:styleId="WW8Num13z0" w:type="character">
    <w:name w:val="WW8Num13z0"/>
    <w:qFormat/>
    <w:rPr>
      <w:b/>
    </w:rPr>
  </w:style>
  <w:style w:styleId="WW8Num14z0" w:type="character">
    <w:name w:val="WW8Num14z0"/>
    <w:qFormat/>
    <w:rPr>
      <w:rFonts w:ascii="Symbol" w:cs="Symbol" w:hAnsi="Symbol"/>
    </w:rPr>
  </w:style>
  <w:style w:styleId="WW8Num14z1" w:type="character">
    <w:name w:val="WW8Num14z1"/>
    <w:qFormat/>
    <w:rPr>
      <w:rFonts w:ascii="Courier New" w:cs="Courier New" w:hAnsi="Courier New"/>
    </w:rPr>
  </w:style>
  <w:style w:styleId="WW8Num14z5" w:type="character">
    <w:name w:val="WW8Num14z5"/>
    <w:qFormat/>
    <w:rPr>
      <w:rFonts w:ascii="Wingdings" w:cs="Wingdings" w:hAnsi="Wingdings"/>
    </w:rPr>
  </w:style>
  <w:style w:styleId="WW8Num15z0" w:type="character">
    <w:name w:val="WW8Num15z0"/>
    <w:qFormat/>
    <w:rPr>
      <w:rFonts w:ascii="Symbol" w:cs="Symbol" w:hAnsi="Symbol"/>
    </w:rPr>
  </w:style>
  <w:style w:styleId="WW8Num15z1" w:type="character">
    <w:name w:val="WW8Num15z1"/>
    <w:qFormat/>
    <w:rPr>
      <w:rFonts w:ascii="Courier New" w:cs="Courier New" w:hAnsi="Courier New"/>
    </w:rPr>
  </w:style>
  <w:style w:styleId="WW8Num15z2" w:type="character">
    <w:name w:val="WW8Num15z2"/>
    <w:qFormat/>
    <w:rPr>
      <w:rFonts w:ascii="Wingdings" w:cs="Wingdings" w:hAnsi="Wingdings"/>
    </w:rPr>
  </w:style>
  <w:style w:styleId="WW8Num16z0" w:type="character">
    <w:name w:val="WW8Num16z0"/>
    <w:qFormat/>
    <w:rPr>
      <w:rFonts w:ascii="Symbol" w:cs="Symbol" w:hAnsi="Symbol"/>
    </w:rPr>
  </w:style>
  <w:style w:styleId="WW8Num16z1" w:type="character">
    <w:name w:val="WW8Num16z1"/>
    <w:qFormat/>
    <w:rPr>
      <w:rFonts w:ascii="Courier New" w:cs="Courier New" w:hAnsi="Courier New"/>
    </w:rPr>
  </w:style>
  <w:style w:styleId="WW8Num16z2" w:type="character">
    <w:name w:val="WW8Num16z2"/>
    <w:qFormat/>
    <w:rPr>
      <w:rFonts w:ascii="Wingdings" w:cs="Wingdings" w:hAnsi="Wingdings"/>
    </w:rPr>
  </w:style>
  <w:style w:styleId="WW8Num17z0" w:type="character">
    <w:name w:val="WW8Num17z0"/>
    <w:qFormat/>
    <w:rPr>
      <w:rFonts w:ascii="Symbol" w:cs="Symbol" w:hAnsi="Symbol"/>
    </w:rPr>
  </w:style>
  <w:style w:styleId="WW8Num17z1" w:type="character">
    <w:name w:val="WW8Num17z1"/>
    <w:qFormat/>
    <w:rPr>
      <w:rFonts w:ascii="Courier New" w:cs="Courier New" w:hAnsi="Courier New"/>
    </w:rPr>
  </w:style>
  <w:style w:styleId="WW8Num17z2" w:type="character">
    <w:name w:val="WW8Num17z2"/>
    <w:qFormat/>
    <w:rPr>
      <w:rFonts w:ascii="Wingdings" w:cs="Wingdings" w:hAnsi="Wingdings"/>
    </w:rPr>
  </w:style>
  <w:style w:styleId="WW8Num18z0" w:type="character">
    <w:name w:val="WW8Num18z0"/>
    <w:qFormat/>
    <w:rPr>
      <w:b/>
      <w:i w:val="false"/>
    </w:rPr>
  </w:style>
  <w:style w:styleId="WW8Num19z0" w:type="character">
    <w:name w:val="WW8Num19z0"/>
    <w:qFormat/>
    <w:rPr>
      <w:rFonts w:ascii="Symbol" w:cs="Symbol" w:hAnsi="Symbol"/>
    </w:rPr>
  </w:style>
  <w:style w:styleId="WW8Num19z1" w:type="character">
    <w:name w:val="WW8Num19z1"/>
    <w:qFormat/>
    <w:rPr>
      <w:rFonts w:ascii="Courier New" w:cs="Courier New" w:hAnsi="Courier New"/>
    </w:rPr>
  </w:style>
  <w:style w:styleId="WW8Num19z2" w:type="character">
    <w:name w:val="WW8Num19z2"/>
    <w:qFormat/>
    <w:rPr>
      <w:rFonts w:ascii="Wingdings" w:cs="Wingdings" w:hAnsi="Wingdings"/>
    </w:rPr>
  </w:style>
  <w:style w:styleId="WW8Num20z0" w:type="character">
    <w:name w:val="WW8Num20z0"/>
    <w:qFormat/>
    <w:rPr>
      <w:rFonts w:ascii="Symbol" w:cs="Symbol" w:hAnsi="Symbol"/>
      <w:b/>
    </w:rPr>
  </w:style>
  <w:style w:styleId="WW8Num20z1" w:type="character">
    <w:name w:val="WW8Num20z1"/>
    <w:qFormat/>
    <w:rPr>
      <w:rFonts w:ascii="Arial" w:cs="Arial" w:eastAsia="Times New Roman" w:hAnsi="Arial"/>
    </w:rPr>
  </w:style>
  <w:style w:styleId="WW8Num22z0" w:type="character">
    <w:name w:val="WW8Num22z0"/>
    <w:qFormat/>
    <w:rPr>
      <w:rFonts w:ascii="Symbol" w:cs="Symbol" w:hAnsi="Symbol"/>
      <w:color w:val="000000"/>
    </w:rPr>
  </w:style>
  <w:style w:styleId="WW8Num23z0" w:type="character">
    <w:name w:val="WW8Num23z0"/>
    <w:qFormat/>
    <w:rPr>
      <w:b/>
    </w:rPr>
  </w:style>
  <w:style w:styleId="WW8Num24z0" w:type="character">
    <w:name w:val="WW8Num24z0"/>
    <w:qFormat/>
    <w:rPr>
      <w:b w:val="false"/>
    </w:rPr>
  </w:style>
  <w:style w:styleId="WW8Num25z0" w:type="character">
    <w:name w:val="WW8Num25z0"/>
    <w:qFormat/>
    <w:rPr>
      <w:b/>
    </w:rPr>
  </w:style>
  <w:style w:styleId="WW8Num26z0" w:type="character">
    <w:name w:val="WW8Num26z0"/>
    <w:qFormat/>
    <w:rPr>
      <w:rFonts w:ascii="Symbol" w:cs="Symbol" w:hAnsi="Symbol"/>
    </w:rPr>
  </w:style>
  <w:style w:styleId="WW8Num26z1" w:type="character">
    <w:name w:val="WW8Num26z1"/>
    <w:qFormat/>
    <w:rPr>
      <w:rFonts w:ascii="Courier New" w:cs="Courier New" w:hAnsi="Courier New"/>
    </w:rPr>
  </w:style>
  <w:style w:styleId="WW8Num26z2" w:type="character">
    <w:name w:val="WW8Num26z2"/>
    <w:qFormat/>
    <w:rPr>
      <w:rFonts w:ascii="Wingdings" w:cs="Wingdings" w:hAnsi="Wingdings"/>
    </w:rPr>
  </w:style>
  <w:style w:styleId="WW8Num27z0" w:type="character">
    <w:name w:val="WW8Num27z0"/>
    <w:qFormat/>
    <w:rPr>
      <w:rFonts w:ascii="Symbol" w:cs="Symbol" w:hAnsi="Symbol"/>
      <w:color w:val="000000"/>
    </w:rPr>
  </w:style>
  <w:style w:styleId="WW8Num27z1" w:type="character">
    <w:name w:val="WW8Num27z1"/>
    <w:qFormat/>
    <w:rPr>
      <w:rFonts w:ascii="Courier New" w:cs="Courier New" w:hAnsi="Courier New"/>
    </w:rPr>
  </w:style>
  <w:style w:styleId="WW8Num27z2" w:type="character">
    <w:name w:val="WW8Num27z2"/>
    <w:qFormat/>
    <w:rPr>
      <w:rFonts w:ascii="Wingdings" w:cs="Wingdings" w:hAnsi="Wingdings"/>
    </w:rPr>
  </w:style>
  <w:style w:styleId="WW8Num27z3" w:type="character">
    <w:name w:val="WW8Num27z3"/>
    <w:qFormat/>
    <w:rPr>
      <w:rFonts w:ascii="Symbol" w:cs="Symbol" w:hAnsi="Symbol"/>
    </w:rPr>
  </w:style>
  <w:style w:styleId="WW8Num28z0" w:type="character">
    <w:name w:val="WW8Num28z0"/>
    <w:qFormat/>
    <w:rPr>
      <w:b/>
    </w:rPr>
  </w:style>
  <w:style w:styleId="WW8Num28z1" w:type="character">
    <w:name w:val="WW8Num28z1"/>
    <w:qFormat/>
    <w:rPr/>
  </w:style>
  <w:style w:styleId="WW8Num29z0" w:type="character">
    <w:name w:val="WW8Num29z0"/>
    <w:qFormat/>
    <w:rPr>
      <w:b/>
      <w:i w:val="false"/>
    </w:rPr>
  </w:style>
  <w:style w:styleId="WW8Num30z0" w:type="character">
    <w:name w:val="WW8Num30z0"/>
    <w:qFormat/>
    <w:rPr>
      <w:rFonts w:ascii="Symbol" w:cs="Symbol" w:hAnsi="Symbol"/>
    </w:rPr>
  </w:style>
  <w:style w:styleId="WW8Num30z1" w:type="character">
    <w:name w:val="WW8Num30z1"/>
    <w:qFormat/>
    <w:rPr>
      <w:rFonts w:ascii="Courier New" w:cs="Courier New" w:hAnsi="Courier New"/>
    </w:rPr>
  </w:style>
  <w:style w:styleId="WW8Num30z2" w:type="character">
    <w:name w:val="WW8Num30z2"/>
    <w:qFormat/>
    <w:rPr>
      <w:rFonts w:ascii="Wingdings" w:cs="Wingdings" w:hAnsi="Wingdings"/>
    </w:rPr>
  </w:style>
  <w:style w:styleId="WW8Num31z0" w:type="character">
    <w:name w:val="WW8Num31z0"/>
    <w:qFormat/>
    <w:rPr/>
  </w:style>
  <w:style w:styleId="WW8Num32z0" w:type="character">
    <w:name w:val="WW8Num32z0"/>
    <w:qFormat/>
    <w:rPr>
      <w:rFonts w:ascii="Symbol" w:cs="Symbol" w:hAnsi="Symbol"/>
    </w:rPr>
  </w:style>
  <w:style w:styleId="WW8Num32z1" w:type="character">
    <w:name w:val="WW8Num32z1"/>
    <w:qFormat/>
    <w:rPr>
      <w:rFonts w:ascii="Courier New" w:cs="Courier New" w:hAnsi="Courier New"/>
    </w:rPr>
  </w:style>
  <w:style w:styleId="WW8Num32z2" w:type="character">
    <w:name w:val="WW8Num32z2"/>
    <w:qFormat/>
    <w:rPr>
      <w:rFonts w:ascii="Wingdings" w:cs="Wingdings" w:hAnsi="Wingdings"/>
    </w:rPr>
  </w:style>
  <w:style w:styleId="WW8Num33z0" w:type="character">
    <w:name w:val="WW8Num33z0"/>
    <w:qFormat/>
    <w:rPr>
      <w:b/>
    </w:rPr>
  </w:style>
  <w:style w:styleId="WW8Num33z1" w:type="character">
    <w:name w:val="WW8Num33z1"/>
    <w:qFormat/>
    <w:rPr>
      <w:rFonts w:ascii="Arial" w:cs="Arial" w:eastAsia="Times New Roman" w:hAnsi="Arial"/>
    </w:rPr>
  </w:style>
  <w:style w:styleId="WW8Num34z0" w:type="character">
    <w:name w:val="WW8Num34z0"/>
    <w:qFormat/>
    <w:rPr>
      <w:b/>
    </w:rPr>
  </w:style>
  <w:style w:styleId="WW8Num34z1" w:type="character">
    <w:name w:val="WW8Num34z1"/>
    <w:qFormat/>
    <w:rPr>
      <w:rFonts w:ascii="Arial" w:cs="Arial" w:eastAsia="Times New Roman" w:hAnsi="Arial"/>
    </w:rPr>
  </w:style>
  <w:style w:styleId="WW8Num35z0" w:type="character">
    <w:name w:val="WW8Num35z0"/>
    <w:qFormat/>
    <w:rPr>
      <w:rFonts w:ascii="Symbol" w:cs="Symbol" w:hAnsi="Symbol"/>
    </w:rPr>
  </w:style>
  <w:style w:styleId="WW8Num35z1" w:type="character">
    <w:name w:val="WW8Num35z1"/>
    <w:qFormat/>
    <w:rPr>
      <w:rFonts w:ascii="Courier New" w:cs="Courier New" w:hAnsi="Courier New"/>
    </w:rPr>
  </w:style>
  <w:style w:styleId="WW8Num35z2" w:type="character">
    <w:name w:val="WW8Num35z2"/>
    <w:qFormat/>
    <w:rPr>
      <w:rFonts w:ascii="Wingdings" w:cs="Wingdings" w:hAnsi="Wingdings"/>
    </w:rPr>
  </w:style>
  <w:style w:styleId="WW8Num36z0" w:type="character">
    <w:name w:val="WW8Num36z0"/>
    <w:qFormat/>
    <w:rPr>
      <w:rFonts w:ascii="Symbol" w:cs="Symbol" w:hAnsi="Symbol"/>
    </w:rPr>
  </w:style>
  <w:style w:styleId="WW8Num36z1" w:type="character">
    <w:name w:val="WW8Num36z1"/>
    <w:qFormat/>
    <w:rPr>
      <w:rFonts w:ascii="Courier New" w:cs="Courier New" w:hAnsi="Courier New"/>
    </w:rPr>
  </w:style>
  <w:style w:styleId="WW8Num36z2" w:type="character">
    <w:name w:val="WW8Num36z2"/>
    <w:qFormat/>
    <w:rPr>
      <w:rFonts w:ascii="Wingdings" w:cs="Wingdings" w:hAnsi="Wingdings"/>
    </w:rPr>
  </w:style>
  <w:style w:styleId="WW8Num38z0" w:type="character">
    <w:name w:val="WW8Num38z0"/>
    <w:qFormat/>
    <w:rPr>
      <w:rFonts w:ascii="Symbol" w:cs="Symbol" w:hAnsi="Symbol"/>
    </w:rPr>
  </w:style>
  <w:style w:styleId="WW8Num38z1" w:type="character">
    <w:name w:val="WW8Num38z1"/>
    <w:qFormat/>
    <w:rPr>
      <w:rFonts w:ascii="Courier New" w:cs="Courier New" w:hAnsi="Courier New"/>
    </w:rPr>
  </w:style>
  <w:style w:styleId="WW8Num38z2" w:type="character">
    <w:name w:val="WW8Num38z2"/>
    <w:qFormat/>
    <w:rPr>
      <w:rFonts w:ascii="Wingdings" w:cs="Wingdings" w:hAnsi="Wingdings"/>
    </w:rPr>
  </w:style>
  <w:style w:styleId="WW8Num39z0" w:type="character">
    <w:name w:val="WW8Num39z0"/>
    <w:qFormat/>
    <w:rPr>
      <w:b/>
      <w:i w:val="false"/>
    </w:rPr>
  </w:style>
  <w:style w:styleId="WW8Num40z0" w:type="character">
    <w:name w:val="WW8Num40z0"/>
    <w:qFormat/>
    <w:rPr>
      <w:rFonts w:ascii="Symbol" w:cs="Symbol" w:hAnsi="Symbol"/>
    </w:rPr>
  </w:style>
  <w:style w:styleId="WW8Num40z1" w:type="character">
    <w:name w:val="WW8Num40z1"/>
    <w:qFormat/>
    <w:rPr>
      <w:rFonts w:ascii="Courier New" w:cs="Courier New" w:hAnsi="Courier New"/>
    </w:rPr>
  </w:style>
  <w:style w:styleId="WW8Num40z2" w:type="character">
    <w:name w:val="WW8Num40z2"/>
    <w:qFormat/>
    <w:rPr>
      <w:rFonts w:ascii="Wingdings" w:cs="Wingdings" w:hAnsi="Wingdings"/>
    </w:rPr>
  </w:style>
  <w:style w:styleId="WW8Num41z0" w:type="character">
    <w:name w:val="WW8Num41z0"/>
    <w:qFormat/>
    <w:rPr>
      <w:b/>
      <w:i w:val="false"/>
    </w:rPr>
  </w:style>
  <w:style w:styleId="WW8Num41z1" w:type="character">
    <w:name w:val="WW8Num41z1"/>
    <w:qFormat/>
    <w:rPr>
      <w:b/>
    </w:rPr>
  </w:style>
  <w:style w:styleId="WW8Num42z0" w:type="character">
    <w:name w:val="WW8Num42z0"/>
    <w:qFormat/>
    <w:rPr>
      <w:b/>
    </w:rPr>
  </w:style>
  <w:style w:styleId="WW8Num43z0" w:type="character">
    <w:name w:val="WW8Num43z0"/>
    <w:qFormat/>
    <w:rPr>
      <w:rFonts w:ascii="Symbol" w:cs="Symbol" w:hAnsi="Symbol"/>
    </w:rPr>
  </w:style>
  <w:style w:styleId="WW8Num43z1" w:type="character">
    <w:name w:val="WW8Num43z1"/>
    <w:qFormat/>
    <w:rPr>
      <w:rFonts w:ascii="Courier New" w:cs="Courier New" w:hAnsi="Courier New"/>
    </w:rPr>
  </w:style>
  <w:style w:styleId="WW8Num43z2" w:type="character">
    <w:name w:val="WW8Num43z2"/>
    <w:qFormat/>
    <w:rPr>
      <w:rFonts w:ascii="Wingdings" w:cs="Wingdings" w:hAnsi="Wingdings"/>
    </w:rPr>
  </w:style>
  <w:style w:styleId="WW8Num44z0" w:type="character">
    <w:name w:val="WW8Num44z0"/>
    <w:qFormat/>
    <w:rPr/>
  </w:style>
  <w:style w:styleId="WW8Num45z0" w:type="character">
    <w:name w:val="WW8Num45z0"/>
    <w:qFormat/>
    <w:rPr>
      <w:b/>
    </w:rPr>
  </w:style>
  <w:style w:styleId="WW8Num46z0" w:type="character">
    <w:name w:val="WW8Num46z0"/>
    <w:qFormat/>
    <w:rPr>
      <w:b w:val="false"/>
    </w:rPr>
  </w:style>
  <w:style w:styleId="Fuentedeprrafopredeter" w:type="character">
    <w:name w:val="Fuente de párrafo predeter."/>
    <w:qFormat/>
    <w:rPr/>
  </w:style>
  <w:style w:styleId="Refdecomentario" w:type="character">
    <w:name w:val="Ref. de comentario"/>
    <w:qFormat/>
    <w:rPr>
      <w:sz w:val="16"/>
      <w:szCs w:val="16"/>
    </w:rPr>
  </w:style>
  <w:style w:styleId="estilo101" w:type="character">
    <w:name w:val="estilo101"/>
    <w:qFormat/>
    <w:rPr>
      <w:rFonts w:ascii="Georgia" w:cs="Georgia" w:hAnsi="Georgia"/>
    </w:rPr>
  </w:style>
  <w:style w:styleId="TextoindependienteCar" w:type="character">
    <w:name w:val="Texto independiente Car"/>
    <w:qFormat/>
    <w:rPr>
      <w:sz w:val="24"/>
      <w:szCs w:val="24"/>
      <w:lang w:val="es-MX"/>
    </w:rPr>
  </w:style>
  <w:style w:styleId="eacep1" w:type="character">
    <w:name w:val="eacep1"/>
    <w:qFormat/>
    <w:rPr>
      <w:color w:val="000000"/>
    </w:rPr>
  </w:style>
  <w:style w:styleId="Sangra3detindependienteCar" w:type="character">
    <w:name w:val="Sangría 3 de t. independiente Car"/>
    <w:qFormat/>
    <w:rPr>
      <w:sz w:val="16"/>
      <w:szCs w:val="16"/>
    </w:rPr>
  </w:style>
  <w:style w:styleId="SangradetextonormalCar" w:type="character">
    <w:name w:val="Sangría de texto normal Car"/>
    <w:qFormat/>
    <w:rPr>
      <w:rFonts w:ascii="Arial" w:cs="Arial" w:hAnsi="Arial"/>
      <w:bCs/>
      <w:sz w:val="22"/>
      <w:szCs w:val="22"/>
      <w:lang w:val="es-ES"/>
    </w:rPr>
  </w:style>
  <w:style w:styleId="Hyperlink" w:type="character">
    <w:name w:val="Hyperlink"/>
    <w:rPr>
      <w:color w:val="0563C1"/>
      <w:u w:val="single"/>
    </w:rPr>
  </w:style>
  <w:style w:styleId="Mencinsinresolver" w:type="character">
    <w:name w:val="Mención sin resolver"/>
    <w:qFormat/>
    <w:rPr>
      <w:color w:val="605E5C"/>
      <w:shd w:fill="E1DFDD" w:val="clear"/>
    </w:rPr>
  </w:style>
  <w:style w:styleId="Emphasis" w:type="character">
    <w:name w:val="Emphasis"/>
    <w:qFormat/>
    <w:rPr>
      <w:i/>
      <w:iCs/>
    </w:rPr>
  </w:style>
  <w:style w:styleId="Ttulo2Car" w:type="character">
    <w:name w:val="Título 2 Car"/>
    <w:qFormat/>
    <w:rPr>
      <w:rFonts w:ascii="Aptos Display" w:cs="Times New Roman" w:eastAsia="Times New Roman" w:hAnsi="Aptos Display"/>
      <w:b/>
      <w:bCs/>
      <w:i/>
      <w:iCs/>
      <w:sz w:val="28"/>
      <w:szCs w:val="28"/>
      <w:lang w:val="es-ES"/>
    </w:rPr>
  </w:style>
  <w:style w:styleId="Ttulo3Car" w:type="character">
    <w:name w:val="Título 3 Car"/>
    <w:qFormat/>
    <w:rPr>
      <w:rFonts w:ascii="Calibri Light" w:cs="Times New Roman" w:eastAsia="Times New Roman" w:hAnsi="Calibri Light"/>
      <w:b/>
      <w:bCs/>
      <w:sz w:val="26"/>
      <w:szCs w:val="26"/>
      <w:lang w:val="es-ES"/>
    </w:rPr>
  </w:style>
  <w:style w:styleId="Heading" w:type="paragraph">
    <w:name w:val="Heading"/>
    <w:basedOn w:val="Normal"/>
    <w:next w:val="BodyText"/>
    <w:qFormat/>
    <w:pPr>
      <w:keepNext w:val="true"/>
      <w:spacing w:after="120" w:before="240"/>
    </w:pPr>
    <w:rPr>
      <w:rFonts w:ascii="Liberation Sans" w:cs="Liberation Sans" w:eastAsia="Noto Sans CJK SC" w:hAnsi="Liberation Sans"/>
      <w:sz w:val="28"/>
      <w:szCs w:val="28"/>
    </w:rPr>
  </w:style>
  <w:style w:styleId="BodyText" w:type="paragraph">
    <w:name w:val="Body Text"/>
    <w:basedOn w:val="Normal"/>
    <w:pPr>
      <w:spacing w:after="120" w:before="0"/>
    </w:pPr>
    <w:rPr>
      <w:lang w:val="es-MX"/>
    </w:rPr>
  </w:style>
  <w:style w:styleId="List" w:type="paragraph">
    <w:name w:val="List"/>
    <w:basedOn w:val="BodyText"/>
    <w:pPr/>
    <w:rPr>
      <w:rFonts w:cs="Liberation Sans"/>
    </w:rPr>
  </w:style>
  <w:style w:styleId="Caption" w:type="paragraph">
    <w:name w:val="caption"/>
    <w:basedOn w:val="Normal"/>
    <w:qFormat/>
    <w:pPr>
      <w:suppressLineNumbers/>
      <w:spacing w:after="120" w:before="120"/>
    </w:pPr>
    <w:rPr>
      <w:rFonts w:cs="Liberation Sans"/>
      <w:i/>
      <w:iCs/>
      <w:sz w:val="24"/>
      <w:szCs w:val="24"/>
    </w:rPr>
  </w:style>
  <w:style w:styleId="Index" w:type="paragraph">
    <w:name w:val="Index"/>
    <w:basedOn w:val="Normal"/>
    <w:qFormat/>
    <w:pPr>
      <w:suppressLineNumbers/>
    </w:pPr>
    <w:rPr>
      <w:rFonts w:cs="Liberation Sans"/>
    </w:rPr>
  </w:style>
  <w:style w:styleId="HeaderandFooter" w:type="paragraph">
    <w:name w:val="Header and Footer"/>
    <w:basedOn w:val="Normal"/>
    <w:qFormat/>
    <w:pPr>
      <w:suppressLineNumbers/>
      <w:tabs>
        <w:tab w:pos="708" w:val="clear"/>
        <w:tab w:leader="none" w:pos="4819" w:val="center"/>
        <w:tab w:leader="none" w:pos="9638" w:val="right"/>
      </w:tabs>
    </w:pPr>
    <w:rPr/>
  </w:style>
  <w:style w:styleId="Header" w:type="paragraph">
    <w:name w:val="header"/>
    <w:basedOn w:val="Normal"/>
    <w:pPr>
      <w:tabs>
        <w:tab w:pos="708" w:val="clear"/>
        <w:tab w:leader="none" w:pos="4252" w:val="center"/>
        <w:tab w:leader="none" w:pos="8504" w:val="right"/>
      </w:tabs>
    </w:pPr>
    <w:rPr/>
  </w:style>
  <w:style w:styleId="Footer" w:type="paragraph">
    <w:name w:val="footer"/>
    <w:basedOn w:val="Normal"/>
    <w:pPr>
      <w:tabs>
        <w:tab w:pos="708" w:val="clear"/>
        <w:tab w:leader="none" w:pos="4252" w:val="center"/>
        <w:tab w:leader="none" w:pos="8504" w:val="right"/>
      </w:tabs>
    </w:pPr>
    <w:rPr/>
  </w:style>
  <w:style w:styleId="Textodeglobo" w:type="paragraph">
    <w:name w:val="Texto de globo"/>
    <w:basedOn w:val="Normal"/>
    <w:qFormat/>
    <w:pPr/>
    <w:rPr>
      <w:rFonts w:ascii="Tahoma" w:cs="Tahoma" w:hAnsi="Tahoma"/>
      <w:sz w:val="16"/>
      <w:szCs w:val="16"/>
    </w:rPr>
  </w:style>
  <w:style w:styleId="Textocomentario" w:type="paragraph">
    <w:name w:val="Texto comentario"/>
    <w:basedOn w:val="Normal"/>
    <w:qFormat/>
    <w:pPr/>
    <w:rPr>
      <w:sz w:val="20"/>
      <w:szCs w:val="20"/>
    </w:rPr>
  </w:style>
  <w:style w:styleId="Asuntodelcomentario" w:type="paragraph">
    <w:name w:val="Asunto del comentario"/>
    <w:basedOn w:val="Textocomentario"/>
    <w:next w:val="Textocomentario"/>
    <w:qFormat/>
    <w:pPr/>
    <w:rPr>
      <w:b/>
      <w:bCs/>
    </w:rPr>
  </w:style>
  <w:style w:styleId="Sangra3detindependiente" w:type="paragraph">
    <w:name w:val="Sangría 3 de t. independiente"/>
    <w:basedOn w:val="Normal"/>
    <w:qFormat/>
    <w:pPr>
      <w:spacing w:after="120" w:before="0"/>
      <w:ind w:end="0" w:hanging="0" w:start="283"/>
    </w:pPr>
    <w:rPr>
      <w:sz w:val="16"/>
      <w:szCs w:val="16"/>
      <w:lang w:val="en-US"/>
    </w:rPr>
  </w:style>
  <w:style w:styleId="Default" w:type="paragraph">
    <w:name w:val="Default"/>
    <w:qFormat/>
    <w:pPr>
      <w:widowControl/>
      <w:autoSpaceDE w:val="false"/>
      <w:bidi w:val="0"/>
    </w:pPr>
    <w:rPr>
      <w:rFonts w:ascii="Arial" w:cs="Arial" w:eastAsia="Times New Roman" w:hAnsi="Arial"/>
      <w:color w:val="000000"/>
      <w:sz w:val="24"/>
      <w:szCs w:val="24"/>
      <w:lang w:bidi="ar-SA" w:eastAsia="zh-CN" w:val="es-ES"/>
    </w:rPr>
  </w:style>
  <w:style w:styleId="Cuadrculaclara-nfasis3" w:type="paragraph">
    <w:name w:val="Cuadrícula clara - Énfasis 3"/>
    <w:basedOn w:val="Normal"/>
    <w:qFormat/>
    <w:pPr>
      <w:ind w:end="0" w:hanging="0" w:start="708"/>
    </w:pPr>
    <w:rPr/>
  </w:style>
  <w:style w:styleId="BodyTextIndent" w:type="paragraph">
    <w:name w:val="Body Text Indent"/>
    <w:basedOn w:val="Normal"/>
    <w:pPr>
      <w:spacing w:after="120" w:before="120"/>
      <w:ind w:end="0" w:hanging="180" w:start="180"/>
      <w:jc w:val="both"/>
    </w:pPr>
    <w:rPr>
      <w:rFonts w:ascii="Arial" w:cs="Arial" w:hAnsi="Arial"/>
      <w:bCs/>
      <w:sz w:val="22"/>
      <w:szCs w:val="22"/>
    </w:rPr>
  </w:style>
  <w:style w:styleId="Prrafodelista" w:type="paragraph">
    <w:name w:val="Párrafo de lista"/>
    <w:basedOn w:val="Normal"/>
    <w:qFormat/>
    <w:pPr>
      <w:ind w:end="0" w:hanging="0" w:start="708"/>
    </w:pPr>
    <w:rPr/>
  </w:style>
  <w:style w:styleId="Revisin" w:type="paragraph">
    <w:name w:val="Revisión"/>
    <w:qFormat/>
    <w:pPr>
      <w:widowControl/>
      <w:bidi w:val="0"/>
    </w:pPr>
    <w:rPr>
      <w:rFonts w:ascii="Times New Roman" w:cs="Times New Roman" w:eastAsia="Times New Roman" w:hAnsi="Times New Roman"/>
      <w:color w:val="auto"/>
      <w:sz w:val="24"/>
      <w:szCs w:val="24"/>
      <w:lang w:bidi="ar-SA" w:eastAsia="zh-CN" w:val="es-ES"/>
    </w:rPr>
  </w:style>
  <w:style w:styleId="NormalWeb" w:type="paragraph">
    <w:name w:val="Normal (Web)"/>
    <w:basedOn w:val="Normal"/>
    <w:qFormat/>
    <w:pPr/>
    <w:rPr/>
  </w:style>
  <w:style w:styleId="TableContents" w:type="paragraph">
    <w:name w:val="Table Contents"/>
    <w:basedOn w:val="Normal"/>
    <w:qFormat/>
    <w:pPr>
      <w:widowControl w:val="false"/>
      <w:suppressLineNumbers/>
    </w:pPr>
    <w:rPr/>
  </w:style>
  <w:style w:styleId="TableHeading" w:type="paragraph">
    <w:name w:val="Table Heading"/>
    <w:basedOn w:val="TableContents"/>
    <w:qFormat/>
    <w:pPr>
      <w:suppressLineNumbers/>
      <w:jc w:val="center"/>
    </w:pPr>
    <w:rPr>
      <w:b/>
      <w:bCs/>
    </w:rPr>
  </w:style>
  <w:style w:styleId="FrameContents" w:type="paragraph">
    <w:name w:val="Frame Contents"/>
    <w:basedOn w:val="Normal"/>
    <w:qFormat/>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styleId="WW8Num9" w:type="numbering">
    <w:name w:val="WW8Num9"/>
    <w:qFormat/>
  </w:style>
  <w:style w:styleId="WW8Num10" w:type="numbering">
    <w:name w:val="WW8Num10"/>
    <w:qFormat/>
  </w:style>
  <w:style w:styleId="WW8Num11" w:type="numbering">
    <w:name w:val="WW8Num11"/>
    <w:qFormat/>
  </w:style>
  <w:style w:styleId="WW8Num12" w:type="numbering">
    <w:name w:val="WW8Num12"/>
    <w:qFormat/>
  </w:style>
  <w:style w:styleId="WW8Num13" w:type="numbering">
    <w:name w:val="WW8Num13"/>
    <w:qFormat/>
  </w:style>
  <w:style w:styleId="WW8Num14" w:type="numbering">
    <w:name w:val="WW8Num14"/>
    <w:qFormat/>
  </w:style>
  <w:style w:styleId="WW8Num15" w:type="numbering">
    <w:name w:val="WW8Num15"/>
    <w:qFormat/>
  </w:style>
  <w:style w:styleId="WW8Num16" w:type="numbering">
    <w:name w:val="WW8Num16"/>
    <w:qFormat/>
  </w:style>
  <w:style w:styleId="WW8Num17" w:type="numbering">
    <w:name w:val="WW8Num17"/>
    <w:qFormat/>
  </w:style>
  <w:style w:styleId="WW8Num18" w:type="numbering">
    <w:name w:val="WW8Num18"/>
    <w:qFormat/>
  </w:style>
  <w:style w:styleId="WW8Num19" w:type="numbering">
    <w:name w:val="WW8Num19"/>
    <w:qFormat/>
  </w:style>
  <w:style w:styleId="WW8Num20" w:type="numbering">
    <w:name w:val="WW8Num20"/>
    <w:qFormat/>
  </w:style>
  <w:style w:styleId="WW8Num21" w:type="numbering">
    <w:name w:val="WW8Num21"/>
    <w:qFormat/>
  </w:style>
  <w:style w:styleId="WW8Num22" w:type="numbering">
    <w:name w:val="WW8Num22"/>
    <w:qFormat/>
  </w:style>
  <w:style w:styleId="WW8Num23" w:type="numbering">
    <w:name w:val="WW8Num23"/>
    <w:qFormat/>
  </w:style>
  <w:style w:styleId="WW8Num24" w:type="numbering">
    <w:name w:val="WW8Num24"/>
    <w:qFormat/>
  </w:style>
  <w:style w:styleId="WW8Num25" w:type="numbering">
    <w:name w:val="WW8Num25"/>
    <w:qFormat/>
  </w:style>
  <w:style w:styleId="WW8Num26" w:type="numbering">
    <w:name w:val="WW8Num26"/>
    <w:qFormat/>
  </w:style>
  <w:style w:styleId="WW8Num27" w:type="numbering">
    <w:name w:val="WW8Num27"/>
    <w:qFormat/>
  </w:style>
  <w:style w:styleId="WW8Num28" w:type="numbering">
    <w:name w:val="WW8Num28"/>
    <w:qFormat/>
  </w:style>
  <w:style w:styleId="WW8Num29" w:type="numbering">
    <w:name w:val="WW8Num29"/>
    <w:qFormat/>
  </w:style>
  <w:style w:styleId="WW8Num30" w:type="numbering">
    <w:name w:val="WW8Num30"/>
    <w:qFormat/>
  </w:style>
  <w:style w:styleId="WW8Num31" w:type="numbering">
    <w:name w:val="WW8Num31"/>
    <w:qFormat/>
  </w:style>
  <w:style w:styleId="WW8Num32" w:type="numbering">
    <w:name w:val="WW8Num32"/>
    <w:qFormat/>
  </w:style>
  <w:style w:styleId="WW8Num33" w:type="numbering">
    <w:name w:val="WW8Num33"/>
    <w:qFormat/>
  </w:style>
  <w:style w:styleId="WW8Num34" w:type="numbering">
    <w:name w:val="WW8Num34"/>
    <w:qFormat/>
  </w:style>
  <w:style w:styleId="WW8Num35" w:type="numbering">
    <w:name w:val="WW8Num35"/>
    <w:qFormat/>
  </w:style>
  <w:style w:styleId="WW8Num36" w:type="numbering">
    <w:name w:val="WW8Num36"/>
    <w:qFormat/>
  </w:style>
  <w:style w:styleId="WW8Num37" w:type="numbering">
    <w:name w:val="WW8Num37"/>
    <w:qFormat/>
  </w:style>
  <w:style w:styleId="WW8Num38" w:type="numbering">
    <w:name w:val="WW8Num38"/>
    <w:qFormat/>
  </w:style>
  <w:style w:styleId="WW8Num39" w:type="numbering">
    <w:name w:val="WW8Num39"/>
    <w:qFormat/>
  </w:style>
  <w:style w:styleId="WW8Num40" w:type="numbering">
    <w:name w:val="WW8Num40"/>
    <w:qFormat/>
  </w:style>
  <w:style w:styleId="WW8Num41" w:type="numbering">
    <w:name w:val="WW8Num41"/>
    <w:qFormat/>
  </w:style>
  <w:style w:styleId="WW8Num42" w:type="numbering">
    <w:name w:val="WW8Num42"/>
    <w:qFormat/>
  </w:style>
  <w:style w:styleId="WW8Num43" w:type="numbering">
    <w:name w:val="WW8Num43"/>
    <w:qFormat/>
  </w:style>
  <w:style w:styleId="WW8Num44" w:type="numbering">
    <w:name w:val="WW8Num44"/>
    <w:qFormat/>
  </w:style>
  <w:style w:styleId="WW8Num45" w:type="numbering">
    <w:name w:val="WW8Num45"/>
    <w:qFormat/>
  </w:style>
  <w:style w:styleId="WW8Num46" w:type="numbering">
    <w:name w:val="WW8Num46"/>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 Target="numbering.xml" /><Relationship Type="http://schemas.openxmlformats.org/officeDocument/2006/relationships/styles" Id="rId9" Target="styles.xml" /><Relationship Type="http://schemas.openxmlformats.org/officeDocument/2006/relationships/settings" Id="rId8" Target="settings.xml" /><Relationship Type="http://schemas.openxmlformats.org/officeDocument/2006/relationships/webSettings" Id="rId7" Target="webSettings.xml" /><Relationship Type="http://schemas.openxmlformats.org/officeDocument/2006/relationships/fontTable" Id="rId6" Target="fontTable.xml" /><Relationship Type="http://schemas.openxmlformats.org/officeDocument/2006/relationships/theme" Id="rId5" Target="theme/theme1.xml" /><Relationship Type="http://schemas.openxmlformats.org/officeDocument/2006/relationships/footnotes" Id="rId4" Target="footnotes.xml" /><Relationship Type="http://schemas.openxmlformats.org/officeDocument/2006/relationships/comments" Id="rId3" Target="comments.xml" /><Relationship Id="rId2"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2026-06-24T16:30:12Z</dcterms:created>
  <dcterms:modified xsi:type="dcterms:W3CDTF">2026-06-24T16:30:12Z</dcterms:modified>
</cp:coreProperties>
</file>

<file path=docProps/custom.xml><?xml version="1.0" encoding="utf-8"?>
<Properties xmlns="http://schemas.openxmlformats.org/officeDocument/2006/custom-properties" xmlns:vt="http://schemas.openxmlformats.org/officeDocument/2006/docPropsVTypes"/>
</file>