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p-psea-15-mejora-continua-del-pea"/>
    <w:p>
      <w:pPr>
        <w:pStyle w:val="Heading1"/>
      </w:pPr>
      <w:r>
        <w:t xml:space="preserve">P-PSEA-15 — Mejora Continua del PEA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P-PSEA-15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2 — Procedimiento del Sistema de Gestión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</w:t>
      </w:r>
      <w:r>
        <w:br/>
      </w:r>
      <w:r>
        <w:rPr>
          <w:b/>
          <w:bCs/>
        </w:rPr>
        <w:t xml:space="preserve">Cláusulas ISO/IEC 17043:2023:</w:t>
      </w:r>
      <w:r>
        <w:t xml:space="preserve"> </w:t>
      </w:r>
      <w:r>
        <w:t xml:space="preserve">8.6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Oleada 3 (gobernanza)</w:t>
      </w:r>
    </w:p>
    <w:p>
      <w:r>
        <w:pict>
          <v:rect style="width:0;height:1.5pt" o:hralign="center" o:hrstd="t" o:hr="t"/>
        </w:pict>
      </w:r>
    </w:p>
    <w:bookmarkStart w:id="11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Procedimiento para la mejora continua del SGC del PEA. Define cómo el PEA identifica oportunidades de mejora a partir de: resultados de auditorías internas, revisión por la dirección, análisis de tendencias de rondas, retroalimentación de participantes, no conformidades, y objetivos de calidad. Establece el ciclo PDCA aplicado al esquema de ensayo de aptitud.</w:t>
      </w:r>
    </w:p>
    <w:bookmarkEnd w:id="11"/>
    <w:bookmarkStart w:id="12" w:name="contenido-esperado"/>
    <w:p>
      <w:pPr>
        <w:pStyle w:val="Heading2"/>
      </w:pPr>
      <w:r>
        <w:t xml:space="preserve">Contenido esperado</w:t>
      </w:r>
    </w:p>
    <w:p>
      <w:pPr>
        <w:pStyle w:val="Compact"/>
        <w:numPr>
          <w:ilvl w:val="0"/>
          <w:numId w:val="1001"/>
        </w:numPr>
      </w:pPr>
      <w:r>
        <w:t xml:space="preserve">Fuentes de información para la mejora (auditorías, CAPA, tendencias)</w:t>
      </w:r>
    </w:p>
    <w:p>
      <w:pPr>
        <w:pStyle w:val="Compact"/>
        <w:numPr>
          <w:ilvl w:val="0"/>
          <w:numId w:val="1001"/>
        </w:numPr>
      </w:pPr>
      <w:r>
        <w:t xml:space="preserve">Identificación de oportunidades de mejora</w:t>
      </w:r>
    </w:p>
    <w:p>
      <w:pPr>
        <w:pStyle w:val="Compact"/>
        <w:numPr>
          <w:ilvl w:val="0"/>
          <w:numId w:val="1001"/>
        </w:numPr>
      </w:pPr>
      <w:r>
        <w:t xml:space="preserve">Planificación e implementación de mejoras</w:t>
      </w:r>
    </w:p>
    <w:p>
      <w:pPr>
        <w:pStyle w:val="Compact"/>
        <w:numPr>
          <w:ilvl w:val="0"/>
          <w:numId w:val="1001"/>
        </w:numPr>
      </w:pPr>
      <w:r>
        <w:t xml:space="preserve">Verificación de eficacia de mejoras</w:t>
      </w:r>
    </w:p>
    <w:p>
      <w:pPr>
        <w:pStyle w:val="Compact"/>
        <w:numPr>
          <w:ilvl w:val="0"/>
          <w:numId w:val="1001"/>
        </w:numPr>
      </w:pPr>
      <w:r>
        <w:t xml:space="preserve">Análisis de tendencias entre rondas</w:t>
      </w:r>
    </w:p>
    <w:p>
      <w:pPr>
        <w:pStyle w:val="Compact"/>
        <w:numPr>
          <w:ilvl w:val="0"/>
          <w:numId w:val="1001"/>
        </w:numPr>
      </w:pPr>
      <w:r>
        <w:t xml:space="preserve">Retroalimentación de participantes</w:t>
      </w:r>
    </w:p>
    <w:p>
      <w:pPr>
        <w:pStyle w:val="Compact"/>
        <w:numPr>
          <w:ilvl w:val="0"/>
          <w:numId w:val="1001"/>
        </w:numPr>
      </w:pPr>
      <w:r>
        <w:t xml:space="preserve">Registros de mejora</w:t>
      </w:r>
    </w:p>
    <w:bookmarkEnd w:id="12"/>
    <w:bookmarkStart w:id="13" w:name="dependencias"/>
    <w:p>
      <w:pPr>
        <w:pStyle w:val="Heading2"/>
      </w:pPr>
      <w:r>
        <w:t xml:space="preserve">Dependencias</w:t>
      </w:r>
    </w:p>
    <w:p>
      <w:pPr>
        <w:pStyle w:val="Compact"/>
        <w:numPr>
          <w:ilvl w:val="0"/>
          <w:numId w:val="1002"/>
        </w:numPr>
      </w:pPr>
      <w:r>
        <w:t xml:space="preserve">DG-PSEA-01</w:t>
      </w:r>
    </w:p>
    <w:p>
      <w:pPr>
        <w:pStyle w:val="Compact"/>
        <w:numPr>
          <w:ilvl w:val="0"/>
          <w:numId w:val="1002"/>
        </w:numPr>
      </w:pPr>
      <w:r>
        <w:t xml:space="preserve">Relacionado con P-PSEA-16, P-PSEA-17, P-PSEA-18</w:t>
      </w:r>
    </w:p>
    <w:p>
      <w:r>
        <w:pict>
          <v:rect style="width:0;height:1.5pt" o:hralign="center" o:hrstd="t" o:hr="t"/>
        </w:pict>
      </w:r>
    </w:p>
    <w:bookmarkEnd w:id="13"/>
    <w:bookmarkStart w:id="14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Ciclo de mejora usando auditorías, tendencias, CAPA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bookmarkEnd w:id="14"/>
    <w:bookmarkEnd w:id="15"/>
    <w:sectPr>
      <w:headerReference r:id="rId2" w:type="default"/>
      <w:type w:val="nextPage"/>
      <w:pgSz w:h="12240" w:orient="landscape" w:w="15840"/>
      <w:pgMar w:bottom="720" w:footer="0" w:gutter="0" w:header="709" w:left="720" w:right="720" w:top="765"/>
      <w:pgNumType w:fmt="decimal"/>
      <w:formProt w:val="false"/>
      <w:textDirection w:val="lrTb"/>
      <w:docGrid w:charSpace="0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 Display"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Georgia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630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524"/>
      <w:gridCol w:w="9072"/>
      <w:gridCol w:w="3034"/>
    </w:tblGrid>
    <w:tr>
      <w:trPr/>
      <w:tc>
        <w:tcPr>
          <w:tcW w:w="252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lang w:val="en-US" w:eastAsia="en-US"/>
            </w:rPr>
            <w:drawing>
              <wp:inline distT="0" distB="0" distL="0" distR="0">
                <wp:extent cx="1346200" cy="621665"/>
                <wp:effectExtent l="0" t="0" r="0" b="0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1" t="-24" r="-11" b="-2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6200" cy="6216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7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LABORATORIO DE CALIDAD DEL AIRE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Código: P-PSEA-15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cs="Arial" w:ascii="Arial" w:hAnsi="Arial"/>
              <w:b/>
              <w:sz w:val="20"/>
              <w:szCs w:val="16"/>
            </w:rPr>
            <w:t>Versión: 01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pacing w:before="120" w:after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TRABAJO NO CONFORME NO CONFORMIDADES Y ACCIONES CORRECTIVAS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16"/>
            </w:rPr>
            <w:t xml:space="preserve">Página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PAGE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  <w:r>
            <w:rPr>
              <w:rFonts w:cs="Arial" w:ascii="Arial" w:hAnsi="Arial"/>
              <w:b/>
              <w:sz w:val="20"/>
              <w:szCs w:val="16"/>
            </w:rPr>
            <w:t xml:space="preserve"> de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NUMPAGES \* ARABIC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pos="0" w:val="num"/>
        </w:tabs>
        <w:ind w:hanging="360" w:start="360"/>
      </w:pPr>
      <w:rPr>
        <w:b/>
        <w:i w:val="false"/>
      </w:rPr>
    </w:lvl>
    <w:lvl w:ilvl="1">
      <w:start w:val="1"/>
      <w:numFmt w:val="decimal"/>
      <w:lvlText w:val="%1.%2."/>
      <w:lvlJc w:val="start"/>
      <w:pPr>
        <w:tabs>
          <w:tab w:pos="0" w:val="num"/>
        </w:tabs>
        <w:ind w:hanging="432" w:start="792"/>
      </w:pPr>
      <w:rPr>
        <w:b/>
      </w:rPr>
    </w:lvl>
    <w:lvl w:ilvl="2">
      <w:start w:val="1"/>
      <w:numFmt w:val="decimal"/>
      <w:lvlText w:val="%1.%2.%3."/>
      <w:lvlJc w:val="start"/>
      <w:pPr>
        <w:tabs>
          <w:tab w:pos="0" w:val="num"/>
        </w:tabs>
        <w:ind w:hanging="504" w:start="1224"/>
      </w:pPr>
      <w:rPr>
        <w:b/>
      </w:rPr>
    </w:lvl>
    <w:lvl w:ilvl="3">
      <w:start w:val="1"/>
      <w:numFmt w:val="decimal"/>
      <w:lvlText w:val="%1.%2.%3.%4."/>
      <w:lvlJc w:val="start"/>
      <w:pPr>
        <w:tabs>
          <w:tab w:pos="0" w:val="num"/>
        </w:tabs>
        <w:ind w:hanging="648" w:start="1728"/>
      </w:pPr>
    </w:lvl>
    <w:lvl w:ilvl="4">
      <w:start w:val="1"/>
      <w:numFmt w:val="decimal"/>
      <w:lvlText w:val="%1.%2.%3.%4.%5."/>
      <w:lvlJc w:val="start"/>
      <w:pPr>
        <w:tabs>
          <w:tab w:pos="0" w:val="num"/>
        </w:tabs>
        <w:ind w:hanging="792" w:start="2232"/>
      </w:pPr>
    </w:lvl>
    <w:lvl w:ilvl="5">
      <w:start w:val="1"/>
      <w:numFmt w:val="decimal"/>
      <w:lvlText w:val="%1.%2.%3.%4.%5.%6."/>
      <w:lvlJc w:val="start"/>
      <w:pPr>
        <w:tabs>
          <w:tab w:pos="0" w:val="num"/>
        </w:tabs>
        <w:ind w:hanging="936" w:start="2736"/>
      </w:pPr>
    </w:lvl>
    <w:lvl w:ilvl="6">
      <w:start w:val="1"/>
      <w:numFmt w:val="decimal"/>
      <w:lvlText w:val="%1.%2.%3.%4.%5.%6.%7."/>
      <w:lvlJc w:val="start"/>
      <w:pPr>
        <w:tabs>
          <w:tab w:pos="0" w:val="num"/>
        </w:tabs>
        <w:ind w:hanging="1080" w:start="3240"/>
      </w:pPr>
    </w:lvl>
    <w:lvl w:ilvl="7">
      <w:start w:val="1"/>
      <w:numFmt w:val="decimal"/>
      <w:lvlText w:val="%1.%2.%3.%4.%5.%6.%7.%8."/>
      <w:lvlJc w:val="start"/>
      <w:pPr>
        <w:tabs>
          <w:tab w:pos="0" w:val="num"/>
        </w:tabs>
        <w:ind w:hanging="1224" w:start="3744"/>
      </w:pPr>
    </w:lvl>
    <w:lvl w:ilvl="8">
      <w:start w:val="1"/>
      <w:numFmt w:val="decimal"/>
      <w:lvlText w:val="%1.%2.%3.%4.%5.%6.%7.%8.%9."/>
      <w:lvlJc w:val="start"/>
      <w:pPr>
        <w:tabs>
          <w:tab w:pos="0" w:val="num"/>
        </w:tabs>
        <w:ind w:hanging="1440" w:start="4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BreakWrappedTables/>
    <w:compatSetting w:name="compatibilityMode" w:uri="http://schemas.microsoft.com/office/word" w:val="11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Liberation Sans" w:eastAsia="Noto Serif CJK SC" w:hAnsi="Liberation Serif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bidi w:val="0"/>
    </w:pPr>
    <w:rPr>
      <w:rFonts w:ascii="Times New Roman" w:cs="Times New Roman" w:eastAsia="Times New Roman" w:hAnsi="Times New Roman"/>
      <w:color w:val="auto"/>
      <w:sz w:val="24"/>
      <w:szCs w:val="24"/>
      <w:lang w:bidi="ar-SA" w:eastAsia="zh-CN" w:val="es-ES"/>
    </w:rPr>
  </w:style>
  <w:style w:styleId="Heading1" w:type="paragraph">
    <w:name w:val="heading 1"/>
    <w:basedOn w:val="Normal"/>
    <w:next w:val="Normal"/>
    <w:qFormat/>
    <w:pPr>
      <w:keepNext w:val="true"/>
      <w:numPr>
        <w:ilvl w:val="0"/>
        <w:numId w:val="1"/>
      </w:numPr>
      <w:spacing w:after="60" w:before="240"/>
      <w:outlineLvl w:val="0"/>
    </w:pPr>
    <w:rPr>
      <w:rFonts w:ascii="Arial" w:cs="Arial" w:hAnsi="Arial"/>
      <w:b/>
      <w:bCs/>
      <w:kern w:val="2"/>
      <w:sz w:val="32"/>
      <w:szCs w:val="32"/>
    </w:rPr>
  </w:style>
  <w:style w:styleId="Heading2" w:type="paragraph">
    <w:name w:val="heading 2"/>
    <w:basedOn w:val="Normal"/>
    <w:next w:val="Normal"/>
    <w:qFormat/>
    <w:pPr>
      <w:keepNext w:val="true"/>
      <w:numPr>
        <w:ilvl w:val="1"/>
        <w:numId w:val="1"/>
      </w:numPr>
      <w:spacing w:after="60" w:before="240"/>
      <w:outlineLvl w:val="1"/>
    </w:pPr>
    <w:rPr>
      <w:rFonts w:ascii="Aptos Display" w:cs="Times New Roman" w:eastAsia="Times New Roman" w:hAnsi="Aptos Display"/>
      <w:b/>
      <w:bCs/>
      <w:i/>
      <w:iCs/>
      <w:sz w:val="28"/>
      <w:szCs w:val="28"/>
    </w:rPr>
  </w:style>
  <w:style w:styleId="Heading3" w:type="paragraph">
    <w:name w:val="heading 3"/>
    <w:basedOn w:val="Normal"/>
    <w:next w:val="Normal"/>
    <w:qFormat/>
    <w:pPr>
      <w:keepNext w:val="true"/>
      <w:numPr>
        <w:ilvl w:val="2"/>
        <w:numId w:val="1"/>
      </w:numPr>
      <w:spacing w:after="60" w:before="240"/>
      <w:outlineLvl w:val="2"/>
    </w:pPr>
    <w:rPr>
      <w:rFonts w:ascii="Calibri Light" w:cs="Times New Roman" w:eastAsia="Times New Roman" w:hAnsi="Calibri Light"/>
      <w:b/>
      <w:bCs/>
      <w:sz w:val="26"/>
      <w:szCs w:val="26"/>
    </w:rPr>
  </w:style>
  <w:style w:styleId="WW8Num1z0" w:type="character">
    <w:name w:val="WW8Num1z0"/>
    <w:qFormat/>
    <w:rPr>
      <w:rFonts w:ascii="Symbol" w:cs="Symbol" w:hAnsi="Symbol"/>
    </w:rPr>
  </w:style>
  <w:style w:styleId="WW8Num1z2" w:type="character">
    <w:name w:val="WW8Num1z2"/>
    <w:qFormat/>
    <w:rPr>
      <w:rFonts w:ascii="Courier New" w:cs="Courier New" w:hAnsi="Courier New"/>
    </w:rPr>
  </w:style>
  <w:style w:styleId="WW8Num1z3" w:type="character">
    <w:name w:val="WW8Num1z3"/>
    <w:qFormat/>
    <w:rPr>
      <w:rFonts w:ascii="Wingdings" w:cs="Wingdings" w:hAnsi="Wingdings"/>
    </w:rPr>
  </w:style>
  <w:style w:styleId="WW8Num2z0" w:type="character">
    <w:name w:val="WW8Num2z0"/>
    <w:qFormat/>
    <w:rPr>
      <w:rFonts w:ascii="Symbol" w:cs="Symbol" w:hAnsi="Symbol"/>
    </w:rPr>
  </w:style>
  <w:style w:styleId="WW8Num2z1" w:type="character">
    <w:name w:val="WW8Num2z1"/>
    <w:qFormat/>
    <w:rPr>
      <w:rFonts w:ascii="Courier New" w:cs="Courier New" w:hAnsi="Courier New"/>
    </w:rPr>
  </w:style>
  <w:style w:styleId="WW8Num2z2" w:type="character">
    <w:name w:val="WW8Num2z2"/>
    <w:qFormat/>
    <w:rPr>
      <w:rFonts w:ascii="Wingdings" w:cs="Wingdings" w:hAnsi="Wingdings"/>
    </w:rPr>
  </w:style>
  <w:style w:styleId="WW8Num3z0" w:type="character">
    <w:name w:val="WW8Num3z0"/>
    <w:qFormat/>
    <w:rPr>
      <w:rFonts w:ascii="Symbol" w:cs="Symbol" w:hAnsi="Symbol"/>
    </w:rPr>
  </w:style>
  <w:style w:styleId="WW8Num3z1" w:type="character">
    <w:name w:val="WW8Num3z1"/>
    <w:qFormat/>
    <w:rPr>
      <w:rFonts w:ascii="Courier New" w:cs="Courier New" w:hAnsi="Courier New"/>
    </w:rPr>
  </w:style>
  <w:style w:styleId="WW8Num3z2" w:type="character">
    <w:name w:val="WW8Num3z2"/>
    <w:qFormat/>
    <w:rPr>
      <w:rFonts w:ascii="Wingdings" w:cs="Wingdings" w:hAnsi="Wingdings"/>
    </w:rPr>
  </w:style>
  <w:style w:styleId="WW8Num4z0" w:type="character">
    <w:name w:val="WW8Num4z0"/>
    <w:qFormat/>
    <w:rPr>
      <w:b/>
    </w:rPr>
  </w:style>
  <w:style w:styleId="WW8Num6z1" w:type="character">
    <w:name w:val="WW8Num6z1"/>
    <w:qFormat/>
    <w:rPr>
      <w:b w:val="false"/>
    </w:rPr>
  </w:style>
  <w:style w:styleId="WW8Num7z0" w:type="character">
    <w:name w:val="WW8Num7z0"/>
    <w:qFormat/>
    <w:rPr>
      <w:b/>
    </w:rPr>
  </w:style>
  <w:style w:styleId="WW8Num8z0" w:type="character">
    <w:name w:val="WW8Num8z0"/>
    <w:qFormat/>
    <w:rPr>
      <w:rFonts w:ascii="Symbol" w:cs="Symbol" w:hAnsi="Symbol"/>
    </w:rPr>
  </w:style>
  <w:style w:styleId="WW8Num8z1" w:type="character">
    <w:name w:val="WW8Num8z1"/>
    <w:qFormat/>
    <w:rPr>
      <w:rFonts w:ascii="Courier New" w:cs="Courier New" w:hAnsi="Courier New"/>
    </w:rPr>
  </w:style>
  <w:style w:styleId="WW8Num8z2" w:type="character">
    <w:name w:val="WW8Num8z2"/>
    <w:qFormat/>
    <w:rPr>
      <w:rFonts w:ascii="Wingdings" w:cs="Wingdings" w:hAnsi="Wingdings"/>
    </w:rPr>
  </w:style>
  <w:style w:styleId="WW8Num9z0" w:type="character">
    <w:name w:val="WW8Num9z0"/>
    <w:qFormat/>
    <w:rPr>
      <w:rFonts w:ascii="Symbol" w:cs="Symbol" w:hAnsi="Symbol"/>
    </w:rPr>
  </w:style>
  <w:style w:styleId="WW8Num9z1" w:type="character">
    <w:name w:val="WW8Num9z1"/>
    <w:qFormat/>
    <w:rPr>
      <w:rFonts w:ascii="Courier New" w:cs="Courier New" w:hAnsi="Courier New"/>
    </w:rPr>
  </w:style>
  <w:style w:styleId="WW8Num9z2" w:type="character">
    <w:name w:val="WW8Num9z2"/>
    <w:qFormat/>
    <w:rPr>
      <w:rFonts w:ascii="Wingdings" w:cs="Wingdings" w:hAnsi="Wingdings"/>
    </w:rPr>
  </w:style>
  <w:style w:styleId="WW8Num11z0" w:type="character">
    <w:name w:val="WW8Num11z0"/>
    <w:qFormat/>
    <w:rPr>
      <w:b/>
    </w:rPr>
  </w:style>
  <w:style w:styleId="WW8Num12z0" w:type="character">
    <w:name w:val="WW8Num12z0"/>
    <w:qFormat/>
    <w:rPr>
      <w:b w:val="false"/>
    </w:rPr>
  </w:style>
  <w:style w:styleId="WW8Num13z0" w:type="character">
    <w:name w:val="WW8Num13z0"/>
    <w:qFormat/>
    <w:rPr>
      <w:b/>
    </w:rPr>
  </w:style>
  <w:style w:styleId="WW8Num14z0" w:type="character">
    <w:name w:val="WW8Num14z0"/>
    <w:qFormat/>
    <w:rPr>
      <w:rFonts w:ascii="Symbol" w:cs="Symbol" w:hAnsi="Symbol"/>
    </w:rPr>
  </w:style>
  <w:style w:styleId="WW8Num14z1" w:type="character">
    <w:name w:val="WW8Num14z1"/>
    <w:qFormat/>
    <w:rPr>
      <w:rFonts w:ascii="Courier New" w:cs="Courier New" w:hAnsi="Courier New"/>
    </w:rPr>
  </w:style>
  <w:style w:styleId="WW8Num14z5" w:type="character">
    <w:name w:val="WW8Num14z5"/>
    <w:qFormat/>
    <w:rPr>
      <w:rFonts w:ascii="Wingdings" w:cs="Wingdings" w:hAnsi="Wingdings"/>
    </w:rPr>
  </w:style>
  <w:style w:styleId="WW8Num15z0" w:type="character">
    <w:name w:val="WW8Num15z0"/>
    <w:qFormat/>
    <w:rPr>
      <w:rFonts w:ascii="Symbol" w:cs="Symbol" w:hAnsi="Symbol"/>
    </w:rPr>
  </w:style>
  <w:style w:styleId="WW8Num15z1" w:type="character">
    <w:name w:val="WW8Num15z1"/>
    <w:qFormat/>
    <w:rPr>
      <w:rFonts w:ascii="Courier New" w:cs="Courier New" w:hAnsi="Courier New"/>
    </w:rPr>
  </w:style>
  <w:style w:styleId="WW8Num15z2" w:type="character">
    <w:name w:val="WW8Num15z2"/>
    <w:qFormat/>
    <w:rPr>
      <w:rFonts w:ascii="Wingdings" w:cs="Wingdings" w:hAnsi="Wingdings"/>
    </w:rPr>
  </w:style>
  <w:style w:styleId="WW8Num16z0" w:type="character">
    <w:name w:val="WW8Num16z0"/>
    <w:qFormat/>
    <w:rPr>
      <w:rFonts w:ascii="Symbol" w:cs="Symbol" w:hAnsi="Symbol"/>
    </w:rPr>
  </w:style>
  <w:style w:styleId="WW8Num16z1" w:type="character">
    <w:name w:val="WW8Num16z1"/>
    <w:qFormat/>
    <w:rPr>
      <w:rFonts w:ascii="Courier New" w:cs="Courier New" w:hAnsi="Courier New"/>
    </w:rPr>
  </w:style>
  <w:style w:styleId="WW8Num16z2" w:type="character">
    <w:name w:val="WW8Num16z2"/>
    <w:qFormat/>
    <w:rPr>
      <w:rFonts w:ascii="Wingdings" w:cs="Wingdings" w:hAnsi="Wingdings"/>
    </w:rPr>
  </w:style>
  <w:style w:styleId="WW8Num17z0" w:type="character">
    <w:name w:val="WW8Num17z0"/>
    <w:qFormat/>
    <w:rPr>
      <w:rFonts w:ascii="Symbol" w:cs="Symbol" w:hAnsi="Symbol"/>
    </w:rPr>
  </w:style>
  <w:style w:styleId="WW8Num17z1" w:type="character">
    <w:name w:val="WW8Num17z1"/>
    <w:qFormat/>
    <w:rPr>
      <w:rFonts w:ascii="Courier New" w:cs="Courier New" w:hAnsi="Courier New"/>
    </w:rPr>
  </w:style>
  <w:style w:styleId="WW8Num17z2" w:type="character">
    <w:name w:val="WW8Num17z2"/>
    <w:qFormat/>
    <w:rPr>
      <w:rFonts w:ascii="Wingdings" w:cs="Wingdings" w:hAnsi="Wingdings"/>
    </w:rPr>
  </w:style>
  <w:style w:styleId="WW8Num18z0" w:type="character">
    <w:name w:val="WW8Num18z0"/>
    <w:qFormat/>
    <w:rPr>
      <w:b/>
      <w:i w:val="false"/>
    </w:rPr>
  </w:style>
  <w:style w:styleId="WW8Num19z0" w:type="character">
    <w:name w:val="WW8Num19z0"/>
    <w:qFormat/>
    <w:rPr>
      <w:rFonts w:ascii="Symbol" w:cs="Symbol" w:hAnsi="Symbol"/>
    </w:rPr>
  </w:style>
  <w:style w:styleId="WW8Num19z1" w:type="character">
    <w:name w:val="WW8Num19z1"/>
    <w:qFormat/>
    <w:rPr>
      <w:rFonts w:ascii="Courier New" w:cs="Courier New" w:hAnsi="Courier New"/>
    </w:rPr>
  </w:style>
  <w:style w:styleId="WW8Num19z2" w:type="character">
    <w:name w:val="WW8Num19z2"/>
    <w:qFormat/>
    <w:rPr>
      <w:rFonts w:ascii="Wingdings" w:cs="Wingdings" w:hAnsi="Wingdings"/>
    </w:rPr>
  </w:style>
  <w:style w:styleId="WW8Num20z0" w:type="character">
    <w:name w:val="WW8Num20z0"/>
    <w:qFormat/>
    <w:rPr>
      <w:rFonts w:ascii="Symbol" w:cs="Symbol" w:hAnsi="Symbol"/>
      <w:b/>
    </w:rPr>
  </w:style>
  <w:style w:styleId="WW8Num20z1" w:type="character">
    <w:name w:val="WW8Num20z1"/>
    <w:qFormat/>
    <w:rPr>
      <w:rFonts w:ascii="Arial" w:cs="Arial" w:eastAsia="Times New Roman" w:hAnsi="Arial"/>
    </w:rPr>
  </w:style>
  <w:style w:styleId="WW8Num22z0" w:type="character">
    <w:name w:val="WW8Num22z0"/>
    <w:qFormat/>
    <w:rPr>
      <w:rFonts w:ascii="Symbol" w:cs="Symbol" w:hAnsi="Symbol"/>
      <w:color w:val="000000"/>
    </w:rPr>
  </w:style>
  <w:style w:styleId="WW8Num23z0" w:type="character">
    <w:name w:val="WW8Num23z0"/>
    <w:qFormat/>
    <w:rPr>
      <w:b/>
    </w:rPr>
  </w:style>
  <w:style w:styleId="WW8Num24z0" w:type="character">
    <w:name w:val="WW8Num24z0"/>
    <w:qFormat/>
    <w:rPr>
      <w:b w:val="false"/>
    </w:rPr>
  </w:style>
  <w:style w:styleId="WW8Num25z0" w:type="character">
    <w:name w:val="WW8Num25z0"/>
    <w:qFormat/>
    <w:rPr>
      <w:b/>
    </w:rPr>
  </w:style>
  <w:style w:styleId="WW8Num26z0" w:type="character">
    <w:name w:val="WW8Num26z0"/>
    <w:qFormat/>
    <w:rPr>
      <w:rFonts w:ascii="Symbol" w:cs="Symbol" w:hAnsi="Symbol"/>
    </w:rPr>
  </w:style>
  <w:style w:styleId="WW8Num26z1" w:type="character">
    <w:name w:val="WW8Num26z1"/>
    <w:qFormat/>
    <w:rPr>
      <w:rFonts w:ascii="Courier New" w:cs="Courier New" w:hAnsi="Courier New"/>
    </w:rPr>
  </w:style>
  <w:style w:styleId="WW8Num26z2" w:type="character">
    <w:name w:val="WW8Num26z2"/>
    <w:qFormat/>
    <w:rPr>
      <w:rFonts w:ascii="Wingdings" w:cs="Wingdings" w:hAnsi="Wingdings"/>
    </w:rPr>
  </w:style>
  <w:style w:styleId="WW8Num27z0" w:type="character">
    <w:name w:val="WW8Num27z0"/>
    <w:qFormat/>
    <w:rPr>
      <w:rFonts w:ascii="Symbol" w:cs="Symbol" w:hAnsi="Symbol"/>
      <w:color w:val="000000"/>
    </w:rPr>
  </w:style>
  <w:style w:styleId="WW8Num27z1" w:type="character">
    <w:name w:val="WW8Num27z1"/>
    <w:qFormat/>
    <w:rPr>
      <w:rFonts w:ascii="Courier New" w:cs="Courier New" w:hAnsi="Courier New"/>
    </w:rPr>
  </w:style>
  <w:style w:styleId="WW8Num27z2" w:type="character">
    <w:name w:val="WW8Num27z2"/>
    <w:qFormat/>
    <w:rPr>
      <w:rFonts w:ascii="Wingdings" w:cs="Wingdings" w:hAnsi="Wingdings"/>
    </w:rPr>
  </w:style>
  <w:style w:styleId="WW8Num27z3" w:type="character">
    <w:name w:val="WW8Num27z3"/>
    <w:qFormat/>
    <w:rPr>
      <w:rFonts w:ascii="Symbol" w:cs="Symbol" w:hAnsi="Symbol"/>
    </w:rPr>
  </w:style>
  <w:style w:styleId="WW8Num28z0" w:type="character">
    <w:name w:val="WW8Num28z0"/>
    <w:qFormat/>
    <w:rPr>
      <w:b/>
    </w:rPr>
  </w:style>
  <w:style w:styleId="WW8Num28z1" w:type="character">
    <w:name w:val="WW8Num28z1"/>
    <w:qFormat/>
    <w:rPr/>
  </w:style>
  <w:style w:styleId="WW8Num29z0" w:type="character">
    <w:name w:val="WW8Num29z0"/>
    <w:qFormat/>
    <w:rPr>
      <w:b/>
      <w:i w:val="false"/>
    </w:rPr>
  </w:style>
  <w:style w:styleId="WW8Num30z0" w:type="character">
    <w:name w:val="WW8Num30z0"/>
    <w:qFormat/>
    <w:rPr>
      <w:rFonts w:ascii="Symbol" w:cs="Symbol" w:hAnsi="Symbol"/>
    </w:rPr>
  </w:style>
  <w:style w:styleId="WW8Num30z1" w:type="character">
    <w:name w:val="WW8Num30z1"/>
    <w:qFormat/>
    <w:rPr>
      <w:rFonts w:ascii="Courier New" w:cs="Courier New" w:hAnsi="Courier New"/>
    </w:rPr>
  </w:style>
  <w:style w:styleId="WW8Num30z2" w:type="character">
    <w:name w:val="WW8Num30z2"/>
    <w:qFormat/>
    <w:rPr>
      <w:rFonts w:ascii="Wingdings" w:cs="Wingdings" w:hAnsi="Wingdings"/>
    </w:rPr>
  </w:style>
  <w:style w:styleId="WW8Num31z0" w:type="character">
    <w:name w:val="WW8Num31z0"/>
    <w:qFormat/>
    <w:rPr/>
  </w:style>
  <w:style w:styleId="WW8Num32z0" w:type="character">
    <w:name w:val="WW8Num32z0"/>
    <w:qFormat/>
    <w:rPr>
      <w:rFonts w:ascii="Symbol" w:cs="Symbol" w:hAnsi="Symbol"/>
    </w:rPr>
  </w:style>
  <w:style w:styleId="WW8Num32z1" w:type="character">
    <w:name w:val="WW8Num32z1"/>
    <w:qFormat/>
    <w:rPr>
      <w:rFonts w:ascii="Courier New" w:cs="Courier New" w:hAnsi="Courier New"/>
    </w:rPr>
  </w:style>
  <w:style w:styleId="WW8Num32z2" w:type="character">
    <w:name w:val="WW8Num32z2"/>
    <w:qFormat/>
    <w:rPr>
      <w:rFonts w:ascii="Wingdings" w:cs="Wingdings" w:hAnsi="Wingdings"/>
    </w:rPr>
  </w:style>
  <w:style w:styleId="WW8Num33z0" w:type="character">
    <w:name w:val="WW8Num33z0"/>
    <w:qFormat/>
    <w:rPr>
      <w:b/>
    </w:rPr>
  </w:style>
  <w:style w:styleId="WW8Num33z1" w:type="character">
    <w:name w:val="WW8Num33z1"/>
    <w:qFormat/>
    <w:rPr>
      <w:rFonts w:ascii="Arial" w:cs="Arial" w:eastAsia="Times New Roman" w:hAnsi="Arial"/>
    </w:rPr>
  </w:style>
  <w:style w:styleId="WW8Num34z0" w:type="character">
    <w:name w:val="WW8Num34z0"/>
    <w:qFormat/>
    <w:rPr>
      <w:b/>
    </w:rPr>
  </w:style>
  <w:style w:styleId="WW8Num34z1" w:type="character">
    <w:name w:val="WW8Num34z1"/>
    <w:qFormat/>
    <w:rPr>
      <w:rFonts w:ascii="Arial" w:cs="Arial" w:eastAsia="Times New Roman" w:hAnsi="Arial"/>
    </w:rPr>
  </w:style>
  <w:style w:styleId="WW8Num35z0" w:type="character">
    <w:name w:val="WW8Num35z0"/>
    <w:qFormat/>
    <w:rPr>
      <w:rFonts w:ascii="Symbol" w:cs="Symbol" w:hAnsi="Symbol"/>
    </w:rPr>
  </w:style>
  <w:style w:styleId="WW8Num35z1" w:type="character">
    <w:name w:val="WW8Num35z1"/>
    <w:qFormat/>
    <w:rPr>
      <w:rFonts w:ascii="Courier New" w:cs="Courier New" w:hAnsi="Courier New"/>
    </w:rPr>
  </w:style>
  <w:style w:styleId="WW8Num35z2" w:type="character">
    <w:name w:val="WW8Num35z2"/>
    <w:qFormat/>
    <w:rPr>
      <w:rFonts w:ascii="Wingdings" w:cs="Wingdings" w:hAnsi="Wingdings"/>
    </w:rPr>
  </w:style>
  <w:style w:styleId="WW8Num36z0" w:type="character">
    <w:name w:val="WW8Num36z0"/>
    <w:qFormat/>
    <w:rPr>
      <w:rFonts w:ascii="Symbol" w:cs="Symbol" w:hAnsi="Symbol"/>
    </w:rPr>
  </w:style>
  <w:style w:styleId="WW8Num36z1" w:type="character">
    <w:name w:val="WW8Num36z1"/>
    <w:qFormat/>
    <w:rPr>
      <w:rFonts w:ascii="Courier New" w:cs="Courier New" w:hAnsi="Courier New"/>
    </w:rPr>
  </w:style>
  <w:style w:styleId="WW8Num36z2" w:type="character">
    <w:name w:val="WW8Num36z2"/>
    <w:qFormat/>
    <w:rPr>
      <w:rFonts w:ascii="Wingdings" w:cs="Wingdings" w:hAnsi="Wingdings"/>
    </w:rPr>
  </w:style>
  <w:style w:styleId="WW8Num38z0" w:type="character">
    <w:name w:val="WW8Num38z0"/>
    <w:qFormat/>
    <w:rPr>
      <w:rFonts w:ascii="Symbol" w:cs="Symbol" w:hAnsi="Symbol"/>
    </w:rPr>
  </w:style>
  <w:style w:styleId="WW8Num38z1" w:type="character">
    <w:name w:val="WW8Num38z1"/>
    <w:qFormat/>
    <w:rPr>
      <w:rFonts w:ascii="Courier New" w:cs="Courier New" w:hAnsi="Courier New"/>
    </w:rPr>
  </w:style>
  <w:style w:styleId="WW8Num38z2" w:type="character">
    <w:name w:val="WW8Num38z2"/>
    <w:qFormat/>
    <w:rPr>
      <w:rFonts w:ascii="Wingdings" w:cs="Wingdings" w:hAnsi="Wingdings"/>
    </w:rPr>
  </w:style>
  <w:style w:styleId="WW8Num39z0" w:type="character">
    <w:name w:val="WW8Num39z0"/>
    <w:qFormat/>
    <w:rPr>
      <w:b/>
      <w:i w:val="false"/>
    </w:rPr>
  </w:style>
  <w:style w:styleId="WW8Num40z0" w:type="character">
    <w:name w:val="WW8Num40z0"/>
    <w:qFormat/>
    <w:rPr>
      <w:rFonts w:ascii="Symbol" w:cs="Symbol" w:hAnsi="Symbol"/>
    </w:rPr>
  </w:style>
  <w:style w:styleId="WW8Num40z1" w:type="character">
    <w:name w:val="WW8Num40z1"/>
    <w:qFormat/>
    <w:rPr>
      <w:rFonts w:ascii="Courier New" w:cs="Courier New" w:hAnsi="Courier New"/>
    </w:rPr>
  </w:style>
  <w:style w:styleId="WW8Num40z2" w:type="character">
    <w:name w:val="WW8Num40z2"/>
    <w:qFormat/>
    <w:rPr>
      <w:rFonts w:ascii="Wingdings" w:cs="Wingdings" w:hAnsi="Wingdings"/>
    </w:rPr>
  </w:style>
  <w:style w:styleId="WW8Num41z0" w:type="character">
    <w:name w:val="WW8Num41z0"/>
    <w:qFormat/>
    <w:rPr>
      <w:b/>
      <w:i w:val="false"/>
    </w:rPr>
  </w:style>
  <w:style w:styleId="WW8Num41z1" w:type="character">
    <w:name w:val="WW8Num41z1"/>
    <w:qFormat/>
    <w:rPr>
      <w:b/>
    </w:rPr>
  </w:style>
  <w:style w:styleId="WW8Num42z0" w:type="character">
    <w:name w:val="WW8Num42z0"/>
    <w:qFormat/>
    <w:rPr>
      <w:b/>
    </w:rPr>
  </w:style>
  <w:style w:styleId="WW8Num43z0" w:type="character">
    <w:name w:val="WW8Num43z0"/>
    <w:qFormat/>
    <w:rPr>
      <w:rFonts w:ascii="Symbol" w:cs="Symbol" w:hAnsi="Symbol"/>
    </w:rPr>
  </w:style>
  <w:style w:styleId="WW8Num43z1" w:type="character">
    <w:name w:val="WW8Num43z1"/>
    <w:qFormat/>
    <w:rPr>
      <w:rFonts w:ascii="Courier New" w:cs="Courier New" w:hAnsi="Courier New"/>
    </w:rPr>
  </w:style>
  <w:style w:styleId="WW8Num43z2" w:type="character">
    <w:name w:val="WW8Num43z2"/>
    <w:qFormat/>
    <w:rPr>
      <w:rFonts w:ascii="Wingdings" w:cs="Wingdings" w:hAnsi="Wingdings"/>
    </w:rPr>
  </w:style>
  <w:style w:styleId="WW8Num44z0" w:type="character">
    <w:name w:val="WW8Num44z0"/>
    <w:qFormat/>
    <w:rPr/>
  </w:style>
  <w:style w:styleId="WW8Num45z0" w:type="character">
    <w:name w:val="WW8Num45z0"/>
    <w:qFormat/>
    <w:rPr>
      <w:b/>
    </w:rPr>
  </w:style>
  <w:style w:styleId="WW8Num46z0" w:type="character">
    <w:name w:val="WW8Num46z0"/>
    <w:qFormat/>
    <w:rPr>
      <w:b w:val="false"/>
    </w:rPr>
  </w:style>
  <w:style w:styleId="Fuentedeprrafopredeter" w:type="character">
    <w:name w:val="Fuente de párrafo predeter."/>
    <w:qFormat/>
    <w:rPr/>
  </w:style>
  <w:style w:styleId="Refdecomentario" w:type="character">
    <w:name w:val="Ref. de comentario"/>
    <w:qFormat/>
    <w:rPr>
      <w:sz w:val="16"/>
      <w:szCs w:val="16"/>
    </w:rPr>
  </w:style>
  <w:style w:styleId="estilo101" w:type="character">
    <w:name w:val="estilo101"/>
    <w:qFormat/>
    <w:rPr>
      <w:rFonts w:ascii="Georgia" w:cs="Georgia" w:hAnsi="Georgia"/>
    </w:rPr>
  </w:style>
  <w:style w:styleId="TextoindependienteCar" w:type="character">
    <w:name w:val="Texto independiente Car"/>
    <w:qFormat/>
    <w:rPr>
      <w:sz w:val="24"/>
      <w:szCs w:val="24"/>
      <w:lang w:val="es-MX"/>
    </w:rPr>
  </w:style>
  <w:style w:styleId="eacep1" w:type="character">
    <w:name w:val="eacep1"/>
    <w:qFormat/>
    <w:rPr>
      <w:color w:val="000000"/>
    </w:rPr>
  </w:style>
  <w:style w:styleId="Sangra3detindependienteCar" w:type="character">
    <w:name w:val="Sangría 3 de t. independiente Car"/>
    <w:qFormat/>
    <w:rPr>
      <w:sz w:val="16"/>
      <w:szCs w:val="16"/>
    </w:rPr>
  </w:style>
  <w:style w:styleId="SangradetextonormalCar" w:type="character">
    <w:name w:val="Sangría de texto normal Car"/>
    <w:qFormat/>
    <w:rPr>
      <w:rFonts w:ascii="Arial" w:cs="Arial" w:hAnsi="Arial"/>
      <w:bCs/>
      <w:sz w:val="22"/>
      <w:szCs w:val="22"/>
      <w:lang w:val="es-ES"/>
    </w:rPr>
  </w:style>
  <w:style w:styleId="Hyperlink" w:type="character">
    <w:name w:val="Hyperlink"/>
    <w:rPr>
      <w:color w:val="0563C1"/>
      <w:u w:val="single"/>
    </w:rPr>
  </w:style>
  <w:style w:styleId="Mencinsinresolver" w:type="character">
    <w:name w:val="Mención sin resolver"/>
    <w:qFormat/>
    <w:rPr>
      <w:color w:val="605E5C"/>
      <w:shd w:fill="E1DFDD" w:val="clear"/>
    </w:rPr>
  </w:style>
  <w:style w:styleId="Emphasis" w:type="character">
    <w:name w:val="Emphasis"/>
    <w:qFormat/>
    <w:rPr>
      <w:i/>
      <w:iCs/>
    </w:rPr>
  </w:style>
  <w:style w:styleId="Ttulo2Car" w:type="character">
    <w:name w:val="Título 2 Car"/>
    <w:qFormat/>
    <w:rPr>
      <w:rFonts w:ascii="Aptos Display" w:cs="Times New Roman" w:eastAsia="Times New Roman" w:hAnsi="Aptos Display"/>
      <w:b/>
      <w:bCs/>
      <w:i/>
      <w:iCs/>
      <w:sz w:val="28"/>
      <w:szCs w:val="28"/>
      <w:lang w:val="es-ES"/>
    </w:rPr>
  </w:style>
  <w:style w:styleId="Ttulo3Car" w:type="character">
    <w:name w:val="Título 3 Car"/>
    <w:qFormat/>
    <w:rPr>
      <w:rFonts w:ascii="Calibri Light" w:cs="Times New Roman" w:eastAsia="Times New Roman" w:hAnsi="Calibri Light"/>
      <w:b/>
      <w:bCs/>
      <w:sz w:val="26"/>
      <w:szCs w:val="26"/>
      <w:lang w:val="es-ES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Liberation Sans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20" w:before="0"/>
    </w:pPr>
    <w:rPr>
      <w:lang w:val="es-MX"/>
    </w:rPr>
  </w:style>
  <w:style w:styleId="List" w:type="paragraph">
    <w:name w:val="List"/>
    <w:basedOn w:val="BodyText"/>
    <w:pPr/>
    <w:rPr>
      <w:rFonts w:cs="Liberation San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Liberation San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Liberation Sans"/>
    </w:rPr>
  </w:style>
  <w:style w:styleId="HeaderandFooter" w:type="paragraph">
    <w:name w:val="Header and Footer"/>
    <w:basedOn w:val="Normal"/>
    <w:qFormat/>
    <w:pPr>
      <w:suppressLineNumbers/>
      <w:tabs>
        <w:tab w:pos="708" w:val="clear"/>
        <w:tab w:leader="none" w:pos="4819" w:val="center"/>
        <w:tab w:leader="none" w:pos="9638" w:val="right"/>
      </w:tabs>
    </w:pPr>
    <w:rPr/>
  </w:style>
  <w:style w:styleId="Header" w:type="paragraph">
    <w:name w:val="head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Footer" w:type="paragraph">
    <w:name w:val="foot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Textodeglobo" w:type="paragraph">
    <w:name w:val="Texto de globo"/>
    <w:basedOn w:val="Normal"/>
    <w:qFormat/>
    <w:pPr/>
    <w:rPr>
      <w:rFonts w:ascii="Tahoma" w:cs="Tahoma" w:hAnsi="Tahoma"/>
      <w:sz w:val="16"/>
      <w:szCs w:val="16"/>
    </w:rPr>
  </w:style>
  <w:style w:styleId="Textocomentario" w:type="paragraph">
    <w:name w:val="Texto comentario"/>
    <w:basedOn w:val="Normal"/>
    <w:qFormat/>
    <w:pPr/>
    <w:rPr>
      <w:sz w:val="20"/>
      <w:szCs w:val="20"/>
    </w:rPr>
  </w:style>
  <w:style w:styleId="Asuntodelcomentario" w:type="paragraph">
    <w:name w:val="Asunto del comentario"/>
    <w:basedOn w:val="Textocomentario"/>
    <w:next w:val="Textocomentario"/>
    <w:qFormat/>
    <w:pPr/>
    <w:rPr>
      <w:b/>
      <w:bCs/>
    </w:rPr>
  </w:style>
  <w:style w:styleId="Sangra3detindependiente" w:type="paragraph">
    <w:name w:val="Sangría 3 de t. independiente"/>
    <w:basedOn w:val="Normal"/>
    <w:qFormat/>
    <w:pPr>
      <w:spacing w:after="120" w:before="0"/>
      <w:ind w:end="0" w:hanging="0" w:start="283"/>
    </w:pPr>
    <w:rPr>
      <w:sz w:val="16"/>
      <w:szCs w:val="16"/>
      <w:lang w:val="en-US"/>
    </w:rPr>
  </w:style>
  <w:style w:styleId="Default" w:type="paragraph">
    <w:name w:val="Default"/>
    <w:qFormat/>
    <w:pPr>
      <w:widowControl/>
      <w:autoSpaceDE w:val="false"/>
      <w:bidi w:val="0"/>
    </w:pPr>
    <w:rPr>
      <w:rFonts w:ascii="Arial" w:cs="Arial" w:eastAsia="Times New Roman" w:hAnsi="Arial"/>
      <w:color w:val="000000"/>
      <w:sz w:val="24"/>
      <w:szCs w:val="24"/>
      <w:lang w:bidi="ar-SA" w:eastAsia="zh-CN" w:val="es-ES"/>
    </w:rPr>
  </w:style>
  <w:style w:styleId="Cuadrculaclara-nfasis3" w:type="paragraph">
    <w:name w:val="Cuadrícula clara - Énfasis 3"/>
    <w:basedOn w:val="Normal"/>
    <w:qFormat/>
    <w:pPr>
      <w:ind w:end="0" w:hanging="0" w:start="708"/>
    </w:pPr>
    <w:rPr/>
  </w:style>
  <w:style w:styleId="BodyTextIndent" w:type="paragraph">
    <w:name w:val="Body Text Indent"/>
    <w:basedOn w:val="Normal"/>
    <w:pPr>
      <w:spacing w:after="120" w:before="120"/>
      <w:ind w:end="0" w:hanging="180" w:start="180"/>
      <w:jc w:val="both"/>
    </w:pPr>
    <w:rPr>
      <w:rFonts w:ascii="Arial" w:cs="Arial" w:hAnsi="Arial"/>
      <w:bCs/>
      <w:sz w:val="22"/>
      <w:szCs w:val="22"/>
    </w:rPr>
  </w:style>
  <w:style w:styleId="Prrafodelista" w:type="paragraph">
    <w:name w:val="Párrafo de lista"/>
    <w:basedOn w:val="Normal"/>
    <w:qFormat/>
    <w:pPr>
      <w:ind w:end="0" w:hanging="0" w:start="708"/>
    </w:pPr>
    <w:rPr/>
  </w:style>
  <w:style w:styleId="Revisin" w:type="paragraph">
    <w:name w:val="Revisión"/>
    <w:qFormat/>
    <w:pPr>
      <w:widowControl/>
      <w:bidi w:val="0"/>
    </w:pPr>
    <w:rPr>
      <w:rFonts w:ascii="Times New Roman" w:cs="Times New Roman" w:eastAsia="Times New Roman" w:hAnsi="Times New Roman"/>
      <w:color w:val="auto"/>
      <w:sz w:val="24"/>
      <w:szCs w:val="24"/>
      <w:lang w:bidi="ar-SA" w:eastAsia="zh-CN" w:val="es-ES"/>
    </w:rPr>
  </w:style>
  <w:style w:styleId="NormalWeb" w:type="paragraph">
    <w:name w:val="Normal (Web)"/>
    <w:basedOn w:val="Normal"/>
    <w:qFormat/>
    <w:pPr/>
    <w:rPr/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FrameContents" w:type="paragraph">
    <w:name w:val="Frame Contents"/>
    <w:basedOn w:val="Normal"/>
    <w:qFormat/>
    <w:pPr/>
    <w:rPr/>
  </w:style>
  <w:style w:styleId="WW8Num1" w:type="numbering">
    <w:name w:val="WW8Num1"/>
    <w:qFormat/>
  </w:style>
  <w:style w:styleId="WW8Num2" w:type="numbering">
    <w:name w:val="WW8Num2"/>
    <w:qFormat/>
  </w:style>
  <w:style w:styleId="WW8Num3" w:type="numbering">
    <w:name w:val="WW8Num3"/>
    <w:qFormat/>
  </w:style>
  <w:style w:styleId="WW8Num4" w:type="numbering">
    <w:name w:val="WW8Num4"/>
    <w:qFormat/>
  </w:style>
  <w:style w:styleId="WW8Num5" w:type="numbering">
    <w:name w:val="WW8Num5"/>
    <w:qFormat/>
  </w:style>
  <w:style w:styleId="WW8Num6" w:type="numbering">
    <w:name w:val="WW8Num6"/>
    <w:qFormat/>
  </w:style>
  <w:style w:styleId="WW8Num7" w:type="numbering">
    <w:name w:val="WW8Num7"/>
    <w:qFormat/>
  </w:style>
  <w:style w:styleId="WW8Num8" w:type="numbering">
    <w:name w:val="WW8Num8"/>
    <w:qFormat/>
  </w:style>
  <w:style w:styleId="WW8Num9" w:type="numbering">
    <w:name w:val="WW8Num9"/>
    <w:qFormat/>
  </w:style>
  <w:style w:styleId="WW8Num10" w:type="numbering">
    <w:name w:val="WW8Num10"/>
    <w:qFormat/>
  </w:style>
  <w:style w:styleId="WW8Num11" w:type="numbering">
    <w:name w:val="WW8Num11"/>
    <w:qFormat/>
  </w:style>
  <w:style w:styleId="WW8Num12" w:type="numbering">
    <w:name w:val="WW8Num12"/>
    <w:qFormat/>
  </w:style>
  <w:style w:styleId="WW8Num13" w:type="numbering">
    <w:name w:val="WW8Num13"/>
    <w:qFormat/>
  </w:style>
  <w:style w:styleId="WW8Num14" w:type="numbering">
    <w:name w:val="WW8Num14"/>
    <w:qFormat/>
  </w:style>
  <w:style w:styleId="WW8Num15" w:type="numbering">
    <w:name w:val="WW8Num15"/>
    <w:qFormat/>
  </w:style>
  <w:style w:styleId="WW8Num16" w:type="numbering">
    <w:name w:val="WW8Num16"/>
    <w:qFormat/>
  </w:style>
  <w:style w:styleId="WW8Num17" w:type="numbering">
    <w:name w:val="WW8Num17"/>
    <w:qFormat/>
  </w:style>
  <w:style w:styleId="WW8Num18" w:type="numbering">
    <w:name w:val="WW8Num18"/>
    <w:qFormat/>
  </w:style>
  <w:style w:styleId="WW8Num19" w:type="numbering">
    <w:name w:val="WW8Num19"/>
    <w:qFormat/>
  </w:style>
  <w:style w:styleId="WW8Num20" w:type="numbering">
    <w:name w:val="WW8Num20"/>
    <w:qFormat/>
  </w:style>
  <w:style w:styleId="WW8Num21" w:type="numbering">
    <w:name w:val="WW8Num21"/>
    <w:qFormat/>
  </w:style>
  <w:style w:styleId="WW8Num22" w:type="numbering">
    <w:name w:val="WW8Num22"/>
    <w:qFormat/>
  </w:style>
  <w:style w:styleId="WW8Num23" w:type="numbering">
    <w:name w:val="WW8Num23"/>
    <w:qFormat/>
  </w:style>
  <w:style w:styleId="WW8Num24" w:type="numbering">
    <w:name w:val="WW8Num24"/>
    <w:qFormat/>
  </w:style>
  <w:style w:styleId="WW8Num25" w:type="numbering">
    <w:name w:val="WW8Num25"/>
    <w:qFormat/>
  </w:style>
  <w:style w:styleId="WW8Num26" w:type="numbering">
    <w:name w:val="WW8Num26"/>
    <w:qFormat/>
  </w:style>
  <w:style w:styleId="WW8Num27" w:type="numbering">
    <w:name w:val="WW8Num27"/>
    <w:qFormat/>
  </w:style>
  <w:style w:styleId="WW8Num28" w:type="numbering">
    <w:name w:val="WW8Num28"/>
    <w:qFormat/>
  </w:style>
  <w:style w:styleId="WW8Num29" w:type="numbering">
    <w:name w:val="WW8Num29"/>
    <w:qFormat/>
  </w:style>
  <w:style w:styleId="WW8Num30" w:type="numbering">
    <w:name w:val="WW8Num30"/>
    <w:qFormat/>
  </w:style>
  <w:style w:styleId="WW8Num31" w:type="numbering">
    <w:name w:val="WW8Num31"/>
    <w:qFormat/>
  </w:style>
  <w:style w:styleId="WW8Num32" w:type="numbering">
    <w:name w:val="WW8Num32"/>
    <w:qFormat/>
  </w:style>
  <w:style w:styleId="WW8Num33" w:type="numbering">
    <w:name w:val="WW8Num33"/>
    <w:qFormat/>
  </w:style>
  <w:style w:styleId="WW8Num34" w:type="numbering">
    <w:name w:val="WW8Num34"/>
    <w:qFormat/>
  </w:style>
  <w:style w:styleId="WW8Num35" w:type="numbering">
    <w:name w:val="WW8Num35"/>
    <w:qFormat/>
  </w:style>
  <w:style w:styleId="WW8Num36" w:type="numbering">
    <w:name w:val="WW8Num36"/>
    <w:qFormat/>
  </w:style>
  <w:style w:styleId="WW8Num37" w:type="numbering">
    <w:name w:val="WW8Num37"/>
    <w:qFormat/>
  </w:style>
  <w:style w:styleId="WW8Num38" w:type="numbering">
    <w:name w:val="WW8Num38"/>
    <w:qFormat/>
  </w:style>
  <w:style w:styleId="WW8Num39" w:type="numbering">
    <w:name w:val="WW8Num39"/>
    <w:qFormat/>
  </w:style>
  <w:style w:styleId="WW8Num40" w:type="numbering">
    <w:name w:val="WW8Num40"/>
    <w:qFormat/>
  </w:style>
  <w:style w:styleId="WW8Num41" w:type="numbering">
    <w:name w:val="WW8Num41"/>
    <w:qFormat/>
  </w:style>
  <w:style w:styleId="WW8Num42" w:type="numbering">
    <w:name w:val="WW8Num42"/>
    <w:qFormat/>
  </w:style>
  <w:style w:styleId="WW8Num43" w:type="numbering">
    <w:name w:val="WW8Num43"/>
    <w:qFormat/>
  </w:style>
  <w:style w:styleId="WW8Num44" w:type="numbering">
    <w:name w:val="WW8Num44"/>
    <w:qFormat/>
  </w:style>
  <w:style w:styleId="WW8Num45" w:type="numbering">
    <w:name w:val="WW8Num45"/>
    <w:qFormat/>
  </w:style>
  <w:style w:styleId="WW8Num46" w:type="numbering">
    <w:name w:val="WW8Num46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0" Target="numbering.xml" /><Relationship Type="http://schemas.openxmlformats.org/officeDocument/2006/relationships/styles" Id="rId9" Target="styles.xml" /><Relationship Type="http://schemas.openxmlformats.org/officeDocument/2006/relationships/settings" Id="rId8" Target="settings.xml" /><Relationship Type="http://schemas.openxmlformats.org/officeDocument/2006/relationships/webSettings" Id="rId7" Target="webSettings.xml" /><Relationship Type="http://schemas.openxmlformats.org/officeDocument/2006/relationships/fontTable" Id="rId6" Target="fontTable.xml" /><Relationship Type="http://schemas.openxmlformats.org/officeDocument/2006/relationships/theme" Id="rId5" Target="theme/theme1.xml" /><Relationship Type="http://schemas.openxmlformats.org/officeDocument/2006/relationships/footnotes" Id="rId4" Target="footnotes.xml" /><Relationship Type="http://schemas.openxmlformats.org/officeDocument/2006/relationships/comments" Id="rId3" Target="comments.xml" /><Relationship Id="rId2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2026-06-24T16:30:12Z</dcterms:created>
  <dcterms:modified xsi:type="dcterms:W3CDTF">2026-06-24T16:30:12Z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