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rFonts w:ascii="Arial" w:hAnsi="Arial" w:eastAsia="Arial" w:cs="Arial"/>
          <w:i/>
          <w:position w:val="0"/>
          <w:sz w:val="24"/>
          <w:vertAlign w:val="baseline"/>
        </w:rPr>
      </w:pPr>
      <w:r>
        <w:rPr>
          <w:rFonts w:eastAsia="Arial" w:cs="Arial" w:ascii="Arial" w:hAnsi="Arial"/>
          <w:i/>
          <w:position w:val="0"/>
          <w:sz w:val="24"/>
          <w:vertAlign w:val="baseline"/>
        </w:rPr>
      </w:r>
    </w:p>
    <w:tbl>
      <w:tblPr>
        <w:tblStyle w:val="Table1"/>
        <w:tblW w:w="14618" w:type="dxa"/>
        <w:jc w:val="start"/>
        <w:tblInd w:w="-108" w:type="dxa"/>
        <w:tblLayout w:type="fixed"/>
        <w:tblCellMar>
          <w:top w:w="0" w:type="dxa"/>
          <w:start w:w="108" w:type="dxa"/>
          <w:bottom w:w="0" w:type="dxa"/>
          <w:end w:w="108" w:type="dxa"/>
        </w:tblCellMar>
        <w:tblLook w:val="0000"/>
      </w:tblPr>
      <w:tblGrid>
        <w:gridCol w:w="14618"/>
      </w:tblGrid>
      <w:tr>
        <w:trPr/>
        <w:tc>
          <w:tcPr>
            <w:tcW w:w="14618" w:type="dxa"/>
            <w:tcBorders>
              <w:top w:val="single" w:sz="4" w:space="0" w:color="000000"/>
              <w:start w:val="single" w:sz="4" w:space="0" w:color="000000"/>
              <w:bottom w:val="single" w:sz="4" w:space="0" w:color="000000"/>
              <w:end w:val="single" w:sz="4" w:space="0" w:color="000000"/>
            </w:tcBorders>
            <w:shd w:fill="F3F3F3" w:val="clear"/>
          </w:tcPr>
          <w:p>
            <w:pPr>
              <w:pStyle w:val="normal1"/>
              <w:keepNext w:val="true"/>
              <w:keepLines w:val="false"/>
              <w:widowControl/>
              <w:numPr>
                <w:ilvl w:val="0"/>
                <w:numId w:val="4"/>
              </w:numPr>
              <w:pBdr/>
              <w:shd w:val="clear" w:fill="auto"/>
              <w:spacing w:lineRule="auto" w:line="240" w:before="0" w:after="60"/>
              <w:ind w:hanging="360" w:start="360" w:end="0"/>
              <w:jc w:val="center"/>
              <w:rPr>
                <w:rFonts w:ascii="Arial" w:hAnsi="Arial" w:eastAsia="Arial" w:cs="Arial"/>
                <w:i w:val="false"/>
                <w:caps w:val="false"/>
                <w:smallCaps w:val="false"/>
                <w:strike w:val="false"/>
                <w:dstrike w:val="false"/>
                <w:color w:val="000000"/>
                <w:position w:val="0"/>
                <w:sz w:val="22"/>
                <w:szCs w:val="22"/>
                <w:shd w:fill="auto" w:val="clear"/>
                <w:vertAlign w:val="baseline"/>
              </w:rPr>
            </w:pPr>
            <w:r>
              <w:rPr>
                <w:rFonts w:eastAsia="Arial" w:cs="Arial" w:ascii="Arial" w:hAnsi="Arial"/>
                <w:b/>
                <w:i w:val="false"/>
                <w:caps w:val="false"/>
                <w:smallCaps w:val="false"/>
                <w:strike w:val="false"/>
                <w:dstrike w:val="false"/>
                <w:color w:val="000000"/>
                <w:position w:val="0"/>
                <w:sz w:val="22"/>
                <w:szCs w:val="22"/>
                <w:u w:val="none"/>
                <w:shd w:fill="auto" w:val="clear"/>
                <w:vertAlign w:val="baseline"/>
              </w:rPr>
              <w:t>INFORMACIÓN GENERAL DEL PROCEDIMIENTO</w:t>
            </w:r>
          </w:p>
        </w:tc>
      </w:tr>
      <w:tr>
        <w:trPr/>
        <w:tc>
          <w:tcPr>
            <w:tcW w:w="14618" w:type="dxa"/>
            <w:tcBorders>
              <w:top w:val="single" w:sz="4" w:space="0" w:color="000000"/>
              <w:start w:val="single" w:sz="4" w:space="0" w:color="000000"/>
              <w:bottom w:val="single" w:sz="4" w:space="0" w:color="000000"/>
              <w:end w:val="single" w:sz="4" w:space="0" w:color="000000"/>
            </w:tcBorders>
          </w:tcPr>
          <w:p>
            <w:pPr>
              <w:pStyle w:val="normal1"/>
              <w:jc w:val="both"/>
              <w:rPr>
                <w:rFonts w:ascii="Arial" w:hAnsi="Arial" w:eastAsia="Arial" w:cs="Arial"/>
                <w:position w:val="0"/>
                <w:sz w:val="22"/>
                <w:szCs w:val="22"/>
                <w:vertAlign w:val="baseline"/>
              </w:rPr>
            </w:pPr>
            <w:r>
              <w:rPr>
                <w:rFonts w:eastAsia="Arial" w:cs="Arial" w:ascii="Arial" w:hAnsi="Arial"/>
                <w:b/>
                <w:position w:val="0"/>
                <w:sz w:val="22"/>
                <w:szCs w:val="22"/>
                <w:vertAlign w:val="baseline"/>
              </w:rPr>
              <w:t xml:space="preserve">OBJETIVO: </w:t>
            </w:r>
            <w:r>
              <w:rPr>
                <w:rFonts w:eastAsia="Arial" w:cs="Arial" w:ascii="Arial" w:hAnsi="Arial"/>
                <w:position w:val="0"/>
                <w:sz w:val="22"/>
                <w:szCs w:val="22"/>
                <w:vertAlign w:val="baseline"/>
              </w:rPr>
              <w:t>El propósito principal del protocolo es garantizar la validez y la fiabilidad de los resultados obtenidos en la evaluación del desempeño de los laboratorios que participan. Esto se hace en estricto cumplimiento con la norma internacional ISO/IEC 17043:2023.</w:t>
            </w:r>
          </w:p>
        </w:tc>
      </w:tr>
      <w:tr>
        <w:trPr/>
        <w:tc>
          <w:tcPr>
            <w:tcW w:w="14618" w:type="dxa"/>
            <w:tcBorders>
              <w:top w:val="single" w:sz="4" w:space="0" w:color="000000"/>
              <w:start w:val="single" w:sz="4" w:space="0" w:color="000000"/>
              <w:bottom w:val="single" w:sz="4" w:space="0" w:color="000000"/>
              <w:end w:val="single" w:sz="4" w:space="0" w:color="000000"/>
            </w:tcBorders>
          </w:tcPr>
          <w:p>
            <w:pPr>
              <w:pStyle w:val="normal1"/>
              <w:jc w:val="both"/>
              <w:rPr>
                <w:rFonts w:ascii="Arial" w:hAnsi="Arial" w:eastAsia="Arial" w:cs="Arial"/>
                <w:position w:val="0"/>
                <w:sz w:val="22"/>
                <w:szCs w:val="22"/>
                <w:vertAlign w:val="baseline"/>
              </w:rPr>
            </w:pPr>
            <w:r>
              <w:rPr>
                <w:rFonts w:eastAsia="Arial" w:cs="Arial" w:ascii="Arial" w:hAnsi="Arial"/>
                <w:b/>
                <w:position w:val="0"/>
                <w:sz w:val="22"/>
                <w:szCs w:val="22"/>
                <w:vertAlign w:val="baseline"/>
              </w:rPr>
              <w:t>ALCANCE:</w:t>
            </w:r>
            <w:r>
              <w:rPr>
                <w:rFonts w:eastAsia="Arial" w:cs="Arial" w:ascii="Arial" w:hAnsi="Arial"/>
                <w:position w:val="0"/>
                <w:sz w:val="22"/>
                <w:szCs w:val="22"/>
                <w:vertAlign w:val="baseline"/>
              </w:rPr>
              <w:t xml:space="preserve"> El protocolo abarca todo el proceso necesario para realizar un ensayo de aptitud (EA)</w:t>
            </w:r>
            <w:r>
              <w:rPr>
                <w:rFonts w:eastAsia="Arial" w:cs="Arial" w:ascii="Arial" w:hAnsi="Arial"/>
                <w:sz w:val="22"/>
                <w:szCs w:val="22"/>
              </w:rPr>
              <w:t xml:space="preserve"> </w:t>
            </w:r>
            <w:r>
              <w:rPr>
                <w:rFonts w:eastAsia="Arial" w:cs="Arial" w:ascii="Arial" w:hAnsi="Arial"/>
                <w:position w:val="0"/>
                <w:sz w:val="22"/>
                <w:szCs w:val="22"/>
                <w:vertAlign w:val="baseline"/>
              </w:rPr>
              <w:t>para la medi</w:t>
            </w:r>
            <w:r>
              <w:rPr>
                <w:rFonts w:eastAsia="Arial" w:cs="Arial" w:ascii="Arial" w:hAnsi="Arial"/>
                <w:sz w:val="22"/>
                <w:szCs w:val="22"/>
              </w:rPr>
              <w:t>ción de</w:t>
            </w:r>
            <w:r>
              <w:rPr>
                <w:rFonts w:eastAsia="Arial" w:cs="Arial" w:ascii="Arial" w:hAnsi="Arial"/>
                <w:position w:val="0"/>
                <w:sz w:val="22"/>
                <w:szCs w:val="22"/>
                <w:vertAlign w:val="baseline"/>
              </w:rPr>
              <w:t xml:space="preserve"> gases contaminantes criterio.</w:t>
            </w:r>
          </w:p>
        </w:tc>
      </w:tr>
      <w:tr>
        <w:trPr/>
        <w:tc>
          <w:tcPr>
            <w:tcW w:w="146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both"/>
              <w:rPr>
                <w:rFonts w:ascii="Arial" w:hAnsi="Arial" w:eastAsia="Arial" w:cs="Arial"/>
                <w:b/>
                <w:position w:val="0"/>
                <w:sz w:val="22"/>
                <w:szCs w:val="22"/>
                <w:vertAlign w:val="baseline"/>
              </w:rPr>
            </w:pPr>
            <w:r>
              <w:rPr>
                <w:rFonts w:eastAsia="Arial" w:cs="Arial" w:ascii="Arial" w:hAnsi="Arial"/>
                <w:b/>
                <w:position w:val="0"/>
                <w:sz w:val="22"/>
                <w:szCs w:val="22"/>
                <w:vertAlign w:val="baseline"/>
              </w:rPr>
              <w:t>DEFINICIONES:</w:t>
            </w:r>
          </w:p>
          <w:p>
            <w:pPr>
              <w:pStyle w:val="normal1"/>
              <w:numPr>
                <w:ilvl w:val="0"/>
                <w:numId w:val="2"/>
              </w:numPr>
              <w:spacing w:lineRule="auto" w:line="240" w:before="240" w:after="200"/>
              <w:ind w:hanging="360" w:start="720"/>
              <w:jc w:val="both"/>
              <w:rPr>
                <w:sz w:val="22"/>
                <w:szCs w:val="22"/>
              </w:rPr>
            </w:pPr>
            <w:r>
              <w:rPr>
                <w:rFonts w:eastAsia="Arial" w:cs="Arial" w:ascii="Arial" w:hAnsi="Arial"/>
                <w:b/>
                <w:sz w:val="22"/>
                <w:szCs w:val="22"/>
              </w:rPr>
              <w:t>Comparación Interlaboratorio (CIL)</w:t>
            </w:r>
            <w:r>
              <w:rPr>
                <w:rFonts w:eastAsia="Arial" w:cs="Arial" w:ascii="Arial" w:hAnsi="Arial"/>
                <w:sz w:val="22"/>
                <w:szCs w:val="22"/>
              </w:rPr>
              <w:t xml:space="preserve"> La CIL, también conocida como prueba de competencia o prueba interlaboratorio, evalúa la comparabilidad de los resultados de análisis de la misma muestra, analizados por varios laboratorios en el mismo período. Mide la competencia mediante puntuaciones z.</w:t>
            </w:r>
          </w:p>
          <w:p>
            <w:pPr>
              <w:pStyle w:val="normal1"/>
              <w:numPr>
                <w:ilvl w:val="0"/>
                <w:numId w:val="2"/>
              </w:numPr>
              <w:spacing w:lineRule="auto" w:line="240" w:before="0" w:after="200"/>
              <w:ind w:hanging="360" w:start="720"/>
              <w:jc w:val="both"/>
              <w:rPr>
                <w:sz w:val="22"/>
                <w:szCs w:val="22"/>
              </w:rPr>
            </w:pPr>
            <w:r>
              <w:rPr>
                <w:rFonts w:eastAsia="Arial" w:cs="Arial" w:ascii="Arial" w:hAnsi="Arial"/>
                <w:b/>
                <w:sz w:val="22"/>
                <w:szCs w:val="22"/>
              </w:rPr>
              <w:t>Desviación estándar CIL</w:t>
            </w:r>
            <w:r>
              <w:rPr>
                <w:rFonts w:eastAsia="Arial" w:cs="Arial" w:ascii="Arial" w:hAnsi="Arial"/>
                <w:sz w:val="22"/>
                <w:szCs w:val="22"/>
              </w:rPr>
              <w:t xml:space="preserve"> La desviación estándar CIL es la desviación estándar calculada para un mensurando en un material de prueba a partir de los resultados presentados por los participantes.</w:t>
            </w:r>
          </w:p>
          <w:p>
            <w:pPr>
              <w:pStyle w:val="normal1"/>
              <w:numPr>
                <w:ilvl w:val="0"/>
                <w:numId w:val="2"/>
              </w:numPr>
              <w:spacing w:lineRule="auto" w:line="240" w:before="0" w:after="200"/>
              <w:ind w:hanging="360" w:start="720"/>
              <w:jc w:val="both"/>
              <w:rPr>
                <w:sz w:val="22"/>
                <w:szCs w:val="22"/>
              </w:rPr>
            </w:pPr>
            <w:r>
              <w:rPr>
                <w:rFonts w:eastAsia="Arial" w:cs="Arial" w:ascii="Arial" w:hAnsi="Arial"/>
                <w:b/>
                <w:sz w:val="22"/>
                <w:szCs w:val="22"/>
              </w:rPr>
              <w:t>Desviación estándar para la evaluación de la competencia (σpt​)</w:t>
            </w:r>
            <w:r>
              <w:rPr>
                <w:rFonts w:eastAsia="Arial" w:cs="Arial" w:ascii="Arial" w:hAnsi="Arial"/>
                <w:sz w:val="22"/>
                <w:szCs w:val="22"/>
              </w:rPr>
              <w:t xml:space="preserve"> La desviación estándar para la evaluación de la competencia (σpt​) es una desviación estándar preestablecida que se utiliza para el cálculo de puntuaciones Z en un CIL. Para contaminantes como SO2​, CO, O3​, NO, NO2​, σpt​ suele calcularse mediante interpolación lineal basada en el valor asignado (Xref​) utilizando parámetros específicos «a» (pendiente) y «b» (ordenada al origen), acordados por Laboratorios de Referencia. Esto garantiza la coherencia en la evaluación de aptitud, independientemente del nivel de concentración.</w:t>
            </w:r>
          </w:p>
          <w:p>
            <w:pPr>
              <w:pStyle w:val="normal1"/>
              <w:numPr>
                <w:ilvl w:val="0"/>
                <w:numId w:val="2"/>
              </w:numPr>
              <w:spacing w:lineRule="auto" w:line="240" w:before="0" w:after="200"/>
              <w:ind w:hanging="360" w:start="720"/>
              <w:jc w:val="both"/>
              <w:rPr>
                <w:sz w:val="22"/>
                <w:szCs w:val="22"/>
              </w:rPr>
            </w:pPr>
            <w:r>
              <w:rPr>
                <w:rFonts w:eastAsia="Arial" w:cs="Arial" w:ascii="Arial" w:hAnsi="Arial"/>
                <w:b/>
                <w:sz w:val="22"/>
                <w:szCs w:val="22"/>
              </w:rPr>
              <w:t>Ensayo de Aptitud (EA)</w:t>
            </w:r>
            <w:r>
              <w:rPr>
                <w:rFonts w:eastAsia="Arial" w:cs="Arial" w:ascii="Arial" w:hAnsi="Arial"/>
                <w:sz w:val="22"/>
                <w:szCs w:val="22"/>
              </w:rPr>
              <w:t xml:space="preserve"> Evaluación del desempeño de un participante contra criterios preestablecidos por medio de comparaciones interlaboratorios.</w:t>
            </w:r>
          </w:p>
          <w:p>
            <w:pPr>
              <w:pStyle w:val="normal1"/>
              <w:numPr>
                <w:ilvl w:val="0"/>
                <w:numId w:val="2"/>
              </w:numPr>
              <w:spacing w:lineRule="auto" w:line="240" w:before="0" w:after="200"/>
              <w:ind w:hanging="360" w:start="720"/>
              <w:jc w:val="both"/>
              <w:rPr>
                <w:sz w:val="22"/>
                <w:szCs w:val="22"/>
              </w:rPr>
            </w:pPr>
            <w:r>
              <w:rPr>
                <w:rFonts w:eastAsia="Arial" w:cs="Arial" w:ascii="Arial" w:hAnsi="Arial"/>
                <w:b/>
                <w:sz w:val="22"/>
                <w:szCs w:val="22"/>
              </w:rPr>
              <w:t>Estadísticas robustas</w:t>
            </w:r>
            <w:r>
              <w:rPr>
                <w:rFonts w:eastAsia="Arial" w:cs="Arial" w:ascii="Arial" w:hAnsi="Arial"/>
                <w:sz w:val="22"/>
                <w:szCs w:val="22"/>
              </w:rPr>
              <w:t xml:space="preserve"> Las estadísticas robustas se refieren a un método estadístico utilizado para minimizar la influencia de valores atípicos en la media y la desviación estándar calculadas.</w:t>
            </w:r>
          </w:p>
          <w:p>
            <w:pPr>
              <w:pStyle w:val="normal1"/>
              <w:numPr>
                <w:ilvl w:val="0"/>
                <w:numId w:val="2"/>
              </w:numPr>
              <w:spacing w:lineRule="auto" w:line="240" w:before="0" w:after="200"/>
              <w:ind w:hanging="360" w:start="720"/>
              <w:jc w:val="both"/>
              <w:rPr>
                <w:sz w:val="22"/>
                <w:szCs w:val="22"/>
              </w:rPr>
            </w:pPr>
            <w:r>
              <w:rPr>
                <w:rFonts w:eastAsia="Arial" w:cs="Arial" w:ascii="Arial" w:hAnsi="Arial"/>
                <w:b/>
                <w:sz w:val="22"/>
                <w:szCs w:val="22"/>
              </w:rPr>
              <w:t>Gases contaminantes criterio:</w:t>
            </w:r>
            <w:r>
              <w:rPr>
                <w:rFonts w:eastAsia="Arial" w:cs="Arial" w:ascii="Arial" w:hAnsi="Arial"/>
                <w:sz w:val="22"/>
                <w:szCs w:val="22"/>
              </w:rPr>
              <w:t xml:space="preserve"> Según la normatividad ambiental colombiana, son el monóxido de carbono (CO), dióxido de azufre (SO</w:t>
            </w:r>
            <w:r>
              <w:rPr>
                <w:rFonts w:eastAsia="Arial" w:cs="Arial" w:ascii="Arial" w:hAnsi="Arial"/>
                <w:sz w:val="22"/>
                <w:szCs w:val="22"/>
                <w:vertAlign w:val="subscript"/>
              </w:rPr>
              <w:t>2</w:t>
            </w:r>
            <w:r>
              <w:rPr>
                <w:rFonts w:eastAsia="Arial" w:cs="Arial" w:ascii="Arial" w:hAnsi="Arial"/>
                <w:sz w:val="22"/>
                <w:szCs w:val="22"/>
              </w:rPr>
              <w:t>), Ozono (O</w:t>
            </w:r>
            <w:r>
              <w:rPr>
                <w:rFonts w:eastAsia="Arial" w:cs="Arial" w:ascii="Arial" w:hAnsi="Arial"/>
                <w:sz w:val="22"/>
                <w:szCs w:val="22"/>
                <w:vertAlign w:val="subscript"/>
              </w:rPr>
              <w:t>3</w:t>
            </w:r>
            <w:r>
              <w:rPr>
                <w:rFonts w:eastAsia="Arial" w:cs="Arial" w:ascii="Arial" w:hAnsi="Arial"/>
                <w:sz w:val="22"/>
                <w:szCs w:val="22"/>
              </w:rPr>
              <w:t>) y Óxidos de nitrógeno (NO y NO</w:t>
            </w:r>
            <w:r>
              <w:rPr>
                <w:rFonts w:eastAsia="Arial" w:cs="Arial" w:ascii="Arial" w:hAnsi="Arial"/>
                <w:sz w:val="22"/>
                <w:szCs w:val="22"/>
                <w:vertAlign w:val="subscript"/>
              </w:rPr>
              <w:t>2</w:t>
            </w:r>
            <w:r>
              <w:rPr>
                <w:rFonts w:eastAsia="Arial" w:cs="Arial" w:ascii="Arial" w:hAnsi="Arial"/>
                <w:sz w:val="22"/>
                <w:szCs w:val="22"/>
              </w:rPr>
              <w:t>)</w:t>
            </w:r>
          </w:p>
          <w:p>
            <w:pPr>
              <w:pStyle w:val="normal1"/>
              <w:numPr>
                <w:ilvl w:val="2"/>
                <w:numId w:val="2"/>
              </w:numPr>
              <w:spacing w:lineRule="auto" w:line="240" w:before="0" w:after="200"/>
              <w:ind w:hanging="360" w:start="2160"/>
              <w:jc w:val="both"/>
              <w:rPr>
                <w:rFonts w:ascii="Arial" w:hAnsi="Arial" w:eastAsia="Arial" w:cs="Arial"/>
                <w:sz w:val="22"/>
                <w:szCs w:val="22"/>
                <w:u w:val="none"/>
              </w:rPr>
            </w:pPr>
            <w:r>
              <w:rPr>
                <w:rFonts w:eastAsia="Arial" w:cs="Arial" w:ascii="Arial" w:hAnsi="Arial"/>
                <w:sz w:val="22"/>
                <w:szCs w:val="22"/>
                <w:u w:val="none"/>
              </w:rPr>
            </w:r>
          </w:p>
          <w:p>
            <w:pPr>
              <w:pStyle w:val="Heading3"/>
              <w:numPr>
                <w:ilvl w:val="0"/>
                <w:numId w:val="2"/>
              </w:numPr>
              <w:spacing w:lineRule="auto" w:line="240" w:before="0" w:after="200"/>
              <w:ind w:hanging="360" w:start="720"/>
              <w:rPr>
                <w:sz w:val="22"/>
                <w:szCs w:val="22"/>
              </w:rPr>
            </w:pPr>
            <w:bookmarkStart w:id="0" w:name="_heading=h.qq3iy7son18h"/>
            <w:bookmarkEnd w:id="0"/>
            <w:r>
              <w:rPr>
                <w:rFonts w:eastAsia="Arial" w:cs="Arial" w:ascii="Arial" w:hAnsi="Arial"/>
                <w:color w:val="1B1C1D"/>
                <w:sz w:val="22"/>
                <w:szCs w:val="22"/>
              </w:rPr>
              <w:t xml:space="preserve">Ítem de ensayo: </w:t>
            </w:r>
            <w:r>
              <w:rPr>
                <w:rFonts w:eastAsia="Arial" w:cs="Arial" w:ascii="Arial" w:hAnsi="Arial"/>
                <w:b w:val="false"/>
                <w:sz w:val="22"/>
                <w:szCs w:val="22"/>
              </w:rPr>
              <w:t>El ítem de ensayo es una atmósfera de gas contaminante criterio en aire cero suministradas a través de un colector de distribución, generadas dinámicamente a partir de un Material Certificado de Referencia o de un fotómetro nivel 2 para el caso del Ozono.</w:t>
            </w:r>
          </w:p>
          <w:p>
            <w:pPr>
              <w:pStyle w:val="normal1"/>
              <w:numPr>
                <w:ilvl w:val="0"/>
                <w:numId w:val="2"/>
              </w:numPr>
              <w:spacing w:lineRule="auto" w:line="240" w:before="0" w:after="200"/>
              <w:ind w:hanging="360" w:start="720"/>
              <w:jc w:val="both"/>
              <w:rPr>
                <w:sz w:val="22"/>
                <w:szCs w:val="22"/>
              </w:rPr>
            </w:pPr>
            <w:r>
              <w:rPr>
                <w:rFonts w:eastAsia="Arial" w:cs="Arial" w:ascii="Arial" w:hAnsi="Arial"/>
                <w:b/>
                <w:sz w:val="22"/>
                <w:szCs w:val="22"/>
              </w:rPr>
              <w:t>Organizador:</w:t>
            </w:r>
            <w:r>
              <w:rPr>
                <w:rFonts w:eastAsia="Arial" w:cs="Arial" w:ascii="Arial" w:hAnsi="Arial"/>
                <w:sz w:val="22"/>
                <w:szCs w:val="22"/>
              </w:rPr>
              <w:t xml:space="preserve"> El Organizador es el laboratorio responsable de la organización de la CIL/EA.</w:t>
            </w:r>
          </w:p>
          <w:p>
            <w:pPr>
              <w:pStyle w:val="normal1"/>
              <w:numPr>
                <w:ilvl w:val="0"/>
                <w:numId w:val="2"/>
              </w:numPr>
              <w:spacing w:lineRule="auto" w:line="240" w:before="0" w:after="200"/>
              <w:ind w:hanging="360" w:start="720"/>
              <w:jc w:val="both"/>
              <w:rPr>
                <w:sz w:val="22"/>
                <w:szCs w:val="22"/>
              </w:rPr>
            </w:pPr>
            <w:r>
              <w:rPr>
                <w:rFonts w:eastAsia="Arial" w:cs="Arial" w:ascii="Arial" w:hAnsi="Arial"/>
                <w:b/>
                <w:sz w:val="22"/>
                <w:szCs w:val="22"/>
              </w:rPr>
              <w:t>Participante:</w:t>
            </w:r>
            <w:r>
              <w:rPr>
                <w:rFonts w:eastAsia="Arial" w:cs="Arial" w:ascii="Arial" w:hAnsi="Arial"/>
                <w:sz w:val="22"/>
                <w:szCs w:val="22"/>
              </w:rPr>
              <w:t xml:space="preserve"> El Participante es el laboratorio que toma parte en una CIL / EA.</w:t>
            </w:r>
          </w:p>
          <w:p>
            <w:pPr>
              <w:pStyle w:val="normal1"/>
              <w:numPr>
                <w:ilvl w:val="0"/>
                <w:numId w:val="2"/>
              </w:numPr>
              <w:spacing w:lineRule="auto" w:line="240" w:before="0" w:after="200"/>
              <w:ind w:hanging="360" w:start="720"/>
              <w:jc w:val="both"/>
              <w:rPr>
                <w:sz w:val="22"/>
                <w:szCs w:val="22"/>
              </w:rPr>
            </w:pPr>
            <w:r>
              <w:rPr>
                <w:rFonts w:eastAsia="Arial" w:cs="Arial" w:ascii="Arial" w:hAnsi="Arial"/>
                <w:b/>
                <w:sz w:val="22"/>
                <w:szCs w:val="22"/>
              </w:rPr>
              <w:t>Puntuación En o En-score:</w:t>
            </w:r>
            <w:r>
              <w:rPr>
                <w:rFonts w:eastAsia="Arial" w:cs="Arial" w:ascii="Arial" w:hAnsi="Arial"/>
                <w:sz w:val="22"/>
                <w:szCs w:val="22"/>
              </w:rPr>
              <w:t xml:space="preserve"> La puntuación En es un indicador de desempeño que evalúa la capacidad de un participante para proporcionar resultados cercanos a los valores de referencia, considerando sus incertidumbres de medición reportadas y la incertidumbre de los valores asignados.</w:t>
            </w:r>
          </w:p>
          <w:p>
            <w:pPr>
              <w:pStyle w:val="normal1"/>
              <w:numPr>
                <w:ilvl w:val="0"/>
                <w:numId w:val="2"/>
              </w:numPr>
              <w:spacing w:lineRule="auto" w:line="240" w:before="0" w:after="200"/>
              <w:ind w:hanging="360" w:start="720"/>
              <w:jc w:val="both"/>
              <w:rPr>
                <w:sz w:val="22"/>
                <w:szCs w:val="22"/>
              </w:rPr>
            </w:pPr>
            <w:r>
              <w:rPr>
                <w:rFonts w:eastAsia="Arial" w:cs="Arial" w:ascii="Arial" w:hAnsi="Arial"/>
                <w:b/>
                <w:sz w:val="22"/>
                <w:szCs w:val="22"/>
              </w:rPr>
              <w:t>Puntuación z/z’ o z/z’-score:</w:t>
            </w:r>
            <w:r>
              <w:rPr>
                <w:rFonts w:eastAsia="Arial" w:cs="Arial" w:ascii="Arial" w:hAnsi="Arial"/>
                <w:sz w:val="22"/>
                <w:szCs w:val="22"/>
              </w:rPr>
              <w:t xml:space="preserve"> La puntuación z/z’ es un valor utilizado para clasificar el desempeño de un laboratorio dentro de una CIL / EA.</w:t>
            </w:r>
          </w:p>
          <w:p>
            <w:pPr>
              <w:pStyle w:val="normal1"/>
              <w:numPr>
                <w:ilvl w:val="0"/>
                <w:numId w:val="2"/>
              </w:numPr>
              <w:spacing w:lineRule="auto" w:line="240" w:before="0" w:after="200"/>
              <w:ind w:hanging="360" w:start="720"/>
              <w:jc w:val="both"/>
              <w:rPr>
                <w:sz w:val="22"/>
                <w:szCs w:val="22"/>
              </w:rPr>
            </w:pPr>
            <w:r>
              <w:rPr>
                <w:rFonts w:eastAsia="Arial" w:cs="Arial" w:ascii="Arial" w:hAnsi="Arial"/>
                <w:b/>
                <w:sz w:val="22"/>
                <w:szCs w:val="22"/>
              </w:rPr>
              <w:t>Valor Asignado o Valor de Referencia:</w:t>
            </w:r>
            <w:r>
              <w:rPr>
                <w:rFonts w:eastAsia="Arial" w:cs="Arial" w:ascii="Arial" w:hAnsi="Arial"/>
                <w:sz w:val="22"/>
                <w:szCs w:val="22"/>
              </w:rPr>
              <w:t xml:space="preserve"> El valor asignado es la concentración de un mensurando, considerada la mejor estimación del valor real de un material de prueba. </w:t>
            </w:r>
          </w:p>
          <w:p>
            <w:pPr>
              <w:pStyle w:val="normal1"/>
              <w:numPr>
                <w:ilvl w:val="0"/>
                <w:numId w:val="2"/>
              </w:numPr>
              <w:spacing w:lineRule="auto" w:line="240" w:before="0" w:after="200"/>
              <w:ind w:hanging="360" w:start="720"/>
              <w:jc w:val="both"/>
              <w:rPr>
                <w:sz w:val="22"/>
                <w:szCs w:val="22"/>
              </w:rPr>
            </w:pPr>
            <w:r>
              <w:rPr>
                <w:rFonts w:eastAsia="Arial" w:cs="Arial" w:ascii="Arial" w:hAnsi="Arial"/>
                <w:b/>
                <w:sz w:val="22"/>
                <w:szCs w:val="22"/>
              </w:rPr>
              <w:t>Valor de consenso:</w:t>
            </w:r>
            <w:r>
              <w:rPr>
                <w:rFonts w:eastAsia="Arial" w:cs="Arial" w:ascii="Arial" w:hAnsi="Arial"/>
                <w:sz w:val="22"/>
                <w:szCs w:val="22"/>
              </w:rPr>
              <w:t xml:space="preserve"> El valor de consenso es la concentración de un mensurando en un material de prueba derivado de los resultados de los participantes en un CIL / EA.</w:t>
            </w:r>
          </w:p>
          <w:p>
            <w:pPr>
              <w:pStyle w:val="normal1"/>
              <w:numPr>
                <w:ilvl w:val="0"/>
                <w:numId w:val="2"/>
              </w:numPr>
              <w:spacing w:lineRule="auto" w:line="240" w:before="240" w:after="200"/>
              <w:ind w:hanging="360" w:start="720"/>
              <w:jc w:val="both"/>
              <w:rPr>
                <w:sz w:val="22"/>
                <w:szCs w:val="22"/>
              </w:rPr>
            </w:pPr>
            <w:r>
              <w:rPr>
                <w:rFonts w:eastAsia="Arial" w:cs="Arial" w:ascii="Arial" w:hAnsi="Arial"/>
                <w:b/>
                <w:sz w:val="22"/>
                <w:szCs w:val="22"/>
              </w:rPr>
              <w:t>Valores atípicos:</w:t>
            </w:r>
            <w:r>
              <w:rPr>
                <w:rFonts w:eastAsia="Arial" w:cs="Arial" w:ascii="Arial" w:hAnsi="Arial"/>
                <w:sz w:val="22"/>
                <w:szCs w:val="22"/>
              </w:rPr>
              <w:t xml:space="preserve"> Los valores atípicos son resultados de análisis que se caracterizan como una desviación de los demás resultados de un estudio, de acuerdo con lo establecido en la ISO-IEC 13528:2022.</w:t>
            </w:r>
          </w:p>
        </w:tc>
      </w:tr>
      <w:tr>
        <w:trPr/>
        <w:tc>
          <w:tcPr>
            <w:tcW w:w="14618" w:type="dxa"/>
            <w:tcBorders>
              <w:top w:val="single" w:sz="4" w:space="0" w:color="000000"/>
              <w:start w:val="single" w:sz="4" w:space="0" w:color="000000"/>
              <w:bottom w:val="single" w:sz="4" w:space="0" w:color="000000"/>
              <w:end w:val="single" w:sz="4" w:space="0" w:color="000000"/>
            </w:tcBorders>
          </w:tcPr>
          <w:p>
            <w:pPr>
              <w:pStyle w:val="normal1"/>
              <w:rPr>
                <w:rFonts w:ascii="Arial" w:hAnsi="Arial" w:eastAsia="Arial" w:cs="Arial"/>
                <w:b/>
                <w:position w:val="0"/>
                <w:sz w:val="22"/>
                <w:szCs w:val="22"/>
                <w:vertAlign w:val="baseline"/>
              </w:rPr>
            </w:pPr>
            <w:r>
              <w:rPr>
                <w:rFonts w:eastAsia="Arial" w:cs="Arial" w:ascii="Arial" w:hAnsi="Arial"/>
                <w:b/>
                <w:position w:val="0"/>
                <w:sz w:val="22"/>
                <w:szCs w:val="22"/>
                <w:vertAlign w:val="baseline"/>
              </w:rPr>
              <w:t xml:space="preserve">DOCUMENTOS DE REFERENCIA: </w:t>
            </w:r>
          </w:p>
          <w:p>
            <w:pPr>
              <w:pStyle w:val="normal1"/>
              <w:numPr>
                <w:ilvl w:val="0"/>
                <w:numId w:val="5"/>
              </w:numPr>
              <w:spacing w:lineRule="auto" w:line="240" w:before="0" w:after="0"/>
              <w:ind w:hanging="360" w:start="720"/>
              <w:rPr>
                <w:rFonts w:ascii="Arial" w:hAnsi="Arial" w:eastAsia="Arial" w:cs="Arial"/>
                <w:sz w:val="22"/>
                <w:szCs w:val="22"/>
                <w:u w:val="none"/>
              </w:rPr>
            </w:pPr>
            <w:r>
              <w:rPr>
                <w:rFonts w:eastAsia="Arial" w:cs="Arial" w:ascii="Arial" w:hAnsi="Arial"/>
                <w:sz w:val="22"/>
                <w:szCs w:val="22"/>
              </w:rPr>
              <w:t>ISO-IEC 17043:2023</w:t>
            </w:r>
          </w:p>
          <w:p>
            <w:pPr>
              <w:pStyle w:val="normal1"/>
              <w:numPr>
                <w:ilvl w:val="0"/>
                <w:numId w:val="5"/>
              </w:numPr>
              <w:spacing w:lineRule="auto" w:line="240" w:before="0" w:after="0"/>
              <w:ind w:hanging="360" w:start="720"/>
              <w:rPr>
                <w:rFonts w:ascii="Arial" w:hAnsi="Arial" w:eastAsia="Arial" w:cs="Arial"/>
                <w:sz w:val="22"/>
                <w:szCs w:val="22"/>
                <w:u w:val="none"/>
              </w:rPr>
            </w:pPr>
            <w:r>
              <w:rPr>
                <w:rFonts w:eastAsia="Arial" w:cs="Arial" w:ascii="Arial" w:hAnsi="Arial"/>
                <w:sz w:val="22"/>
                <w:szCs w:val="22"/>
              </w:rPr>
              <w:t>ISO-IEC 13528:2022</w:t>
            </w:r>
          </w:p>
          <w:p>
            <w:pPr>
              <w:pStyle w:val="normal1"/>
              <w:numPr>
                <w:ilvl w:val="0"/>
                <w:numId w:val="5"/>
              </w:numPr>
              <w:spacing w:lineRule="auto" w:line="240" w:before="0" w:after="0"/>
              <w:ind w:hanging="360" w:start="720"/>
              <w:rPr>
                <w:rFonts w:ascii="Arial" w:hAnsi="Arial" w:eastAsia="Arial" w:cs="Arial"/>
                <w:sz w:val="22"/>
                <w:szCs w:val="22"/>
                <w:u w:val="none"/>
              </w:rPr>
            </w:pPr>
            <w:r>
              <w:rPr>
                <w:rFonts w:eastAsia="Arial" w:cs="Arial" w:ascii="Arial" w:hAnsi="Arial"/>
                <w:sz w:val="22"/>
                <w:szCs w:val="22"/>
              </w:rPr>
              <w:t>P-PSEA-02 Procedimiento de Ensayo de Aptitud para NO-NO</w:t>
            </w:r>
            <w:r>
              <w:rPr>
                <w:rFonts w:eastAsia="Arial" w:cs="Arial" w:ascii="Arial" w:hAnsi="Arial"/>
                <w:sz w:val="22"/>
                <w:szCs w:val="22"/>
                <w:vertAlign w:val="subscript"/>
              </w:rPr>
              <w:t>2</w:t>
            </w:r>
          </w:p>
          <w:p>
            <w:pPr>
              <w:pStyle w:val="normal1"/>
              <w:numPr>
                <w:ilvl w:val="0"/>
                <w:numId w:val="5"/>
              </w:numPr>
              <w:spacing w:lineRule="auto" w:line="240" w:before="0" w:after="0"/>
              <w:ind w:hanging="360" w:start="720"/>
              <w:rPr>
                <w:rFonts w:ascii="Arial" w:hAnsi="Arial" w:eastAsia="Arial" w:cs="Arial"/>
                <w:sz w:val="22"/>
                <w:szCs w:val="22"/>
                <w:u w:val="none"/>
              </w:rPr>
            </w:pPr>
            <w:r>
              <w:rPr>
                <w:rFonts w:eastAsia="Arial" w:cs="Arial" w:ascii="Arial" w:hAnsi="Arial"/>
                <w:sz w:val="22"/>
                <w:szCs w:val="22"/>
              </w:rPr>
              <w:t>P-PSEA-03 Procedimiento de Ensayo de Aptitud para CO</w:t>
            </w:r>
          </w:p>
          <w:p>
            <w:pPr>
              <w:pStyle w:val="normal1"/>
              <w:numPr>
                <w:ilvl w:val="0"/>
                <w:numId w:val="5"/>
              </w:numPr>
              <w:spacing w:lineRule="auto" w:line="240" w:before="0" w:after="0"/>
              <w:ind w:hanging="360" w:start="720"/>
              <w:rPr>
                <w:rFonts w:ascii="Arial" w:hAnsi="Arial" w:eastAsia="Arial" w:cs="Arial"/>
                <w:sz w:val="22"/>
                <w:szCs w:val="22"/>
                <w:u w:val="none"/>
              </w:rPr>
            </w:pPr>
            <w:r>
              <w:rPr>
                <w:rFonts w:eastAsia="Arial" w:cs="Arial" w:ascii="Arial" w:hAnsi="Arial"/>
                <w:sz w:val="22"/>
                <w:szCs w:val="22"/>
              </w:rPr>
              <w:t>P-PSEA-04 Procedimiento de Ensayo de Aptitud para O</w:t>
            </w:r>
            <w:r>
              <w:rPr>
                <w:rFonts w:eastAsia="Arial" w:cs="Arial" w:ascii="Arial" w:hAnsi="Arial"/>
                <w:sz w:val="22"/>
                <w:szCs w:val="22"/>
                <w:vertAlign w:val="subscript"/>
              </w:rPr>
              <w:t>3</w:t>
            </w:r>
          </w:p>
          <w:p>
            <w:pPr>
              <w:pStyle w:val="normal1"/>
              <w:numPr>
                <w:ilvl w:val="0"/>
                <w:numId w:val="5"/>
              </w:numPr>
              <w:spacing w:lineRule="auto" w:line="240" w:before="0" w:after="0"/>
              <w:ind w:hanging="360" w:start="720"/>
              <w:rPr>
                <w:rFonts w:ascii="Arial" w:hAnsi="Arial" w:eastAsia="Arial" w:cs="Arial"/>
                <w:sz w:val="22"/>
                <w:szCs w:val="22"/>
                <w:u w:val="none"/>
              </w:rPr>
            </w:pPr>
            <w:r>
              <w:rPr>
                <w:rFonts w:eastAsia="Arial" w:cs="Arial" w:ascii="Arial" w:hAnsi="Arial"/>
                <w:sz w:val="22"/>
                <w:szCs w:val="22"/>
              </w:rPr>
              <w:t>P-PSEA-05 Procedimiento de Ensayo de Aptitud para SO</w:t>
            </w:r>
            <w:r>
              <w:rPr>
                <w:rFonts w:eastAsia="Arial" w:cs="Arial" w:ascii="Arial" w:hAnsi="Arial"/>
                <w:sz w:val="22"/>
                <w:szCs w:val="22"/>
                <w:vertAlign w:val="subscript"/>
              </w:rPr>
              <w:t>2</w:t>
            </w:r>
          </w:p>
          <w:p>
            <w:pPr>
              <w:pStyle w:val="normal1"/>
              <w:widowControl w:val="false"/>
              <w:numPr>
                <w:ilvl w:val="0"/>
                <w:numId w:val="5"/>
              </w:numPr>
              <w:spacing w:lineRule="auto" w:line="240" w:before="0" w:after="0"/>
              <w:ind w:hanging="360" w:start="720"/>
              <w:rPr>
                <w:rFonts w:ascii="Arial" w:hAnsi="Arial" w:eastAsia="Arial" w:cs="Arial"/>
                <w:color w:val="1B1C1D"/>
                <w:sz w:val="22"/>
                <w:szCs w:val="22"/>
                <w:u w:val="none"/>
              </w:rPr>
            </w:pPr>
            <w:r>
              <w:rPr>
                <w:rFonts w:eastAsia="Arial" w:cs="Arial" w:ascii="Arial" w:hAnsi="Arial"/>
                <w:color w:val="1B1C1D"/>
                <w:sz w:val="22"/>
                <w:szCs w:val="22"/>
              </w:rPr>
              <w:t>P-PSEA-06 Procedimiento de Elaboración de Informe de Resultados</w:t>
            </w:r>
          </w:p>
          <w:p>
            <w:pPr>
              <w:pStyle w:val="normal1"/>
              <w:widowControl w:val="false"/>
              <w:numPr>
                <w:ilvl w:val="0"/>
                <w:numId w:val="5"/>
              </w:numPr>
              <w:spacing w:lineRule="auto" w:line="240" w:before="0" w:after="0"/>
              <w:ind w:hanging="360" w:start="720"/>
              <w:rPr>
                <w:rFonts w:ascii="Arial" w:hAnsi="Arial" w:eastAsia="Arial" w:cs="Arial"/>
                <w:color w:val="1B1C1D"/>
                <w:sz w:val="22"/>
                <w:szCs w:val="22"/>
                <w:u w:val="none"/>
              </w:rPr>
            </w:pPr>
            <w:r>
              <w:rPr>
                <w:rFonts w:eastAsia="Arial" w:cs="Arial" w:ascii="Arial" w:hAnsi="Arial"/>
                <w:color w:val="1B1C1D"/>
                <w:sz w:val="22"/>
                <w:szCs w:val="22"/>
              </w:rPr>
              <w:t>F-PSEA-01 Calendario Tipo</w:t>
            </w:r>
          </w:p>
          <w:p>
            <w:pPr>
              <w:pStyle w:val="normal1"/>
              <w:widowControl w:val="false"/>
              <w:numPr>
                <w:ilvl w:val="0"/>
                <w:numId w:val="5"/>
              </w:numPr>
              <w:spacing w:lineRule="auto" w:line="240" w:before="0" w:after="0"/>
              <w:ind w:hanging="360" w:start="720"/>
              <w:rPr>
                <w:rFonts w:ascii="Arial" w:hAnsi="Arial" w:eastAsia="Arial" w:cs="Arial"/>
                <w:color w:val="1B1C1D"/>
                <w:sz w:val="22"/>
                <w:szCs w:val="22"/>
                <w:u w:val="none"/>
              </w:rPr>
            </w:pPr>
            <w:r>
              <w:rPr>
                <w:rFonts w:eastAsia="Arial" w:cs="Arial" w:ascii="Arial" w:hAnsi="Arial"/>
                <w:color w:val="1B1C1D"/>
                <w:sz w:val="22"/>
                <w:szCs w:val="22"/>
              </w:rPr>
              <w:t>I-PSEA-01 Instructivo de Embalaje y Transporte</w:t>
            </w:r>
          </w:p>
          <w:p>
            <w:pPr>
              <w:pStyle w:val="normal1"/>
              <w:widowControl w:val="false"/>
              <w:numPr>
                <w:ilvl w:val="0"/>
                <w:numId w:val="5"/>
              </w:numPr>
              <w:spacing w:lineRule="auto" w:line="240" w:before="0" w:after="0"/>
              <w:ind w:hanging="360" w:start="720"/>
              <w:rPr>
                <w:rFonts w:ascii="Arial" w:hAnsi="Arial" w:eastAsia="Arial" w:cs="Arial"/>
                <w:color w:val="1B1C1D"/>
                <w:sz w:val="22"/>
                <w:szCs w:val="22"/>
                <w:u w:val="none"/>
              </w:rPr>
            </w:pPr>
            <w:r>
              <w:rPr>
                <w:rFonts w:eastAsia="Arial" w:cs="Arial" w:ascii="Arial" w:hAnsi="Arial"/>
                <w:color w:val="1B1C1D"/>
                <w:sz w:val="22"/>
                <w:szCs w:val="22"/>
              </w:rPr>
              <w:t>DG-PSEA-01-Protocolo Detallado Participación en EA de Gases Contaminantes Criterio</w:t>
            </w:r>
          </w:p>
        </w:tc>
      </w:tr>
      <w:tr>
        <w:trPr/>
        <w:tc>
          <w:tcPr>
            <w:tcW w:w="14618"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both"/>
              <w:rPr>
                <w:rFonts w:ascii="Arial" w:hAnsi="Arial" w:eastAsia="Arial" w:cs="Arial"/>
                <w:b/>
                <w:position w:val="0"/>
                <w:sz w:val="22"/>
                <w:szCs w:val="22"/>
                <w:vertAlign w:val="baseline"/>
              </w:rPr>
            </w:pPr>
            <w:r>
              <w:rPr>
                <w:rFonts w:eastAsia="Arial" w:cs="Arial" w:ascii="Arial" w:hAnsi="Arial"/>
                <w:b/>
                <w:position w:val="0"/>
                <w:sz w:val="22"/>
                <w:szCs w:val="22"/>
                <w:vertAlign w:val="baseline"/>
              </w:rPr>
              <w:t>CONDICIONES GENERALES:</w:t>
            </w:r>
          </w:p>
          <w:p>
            <w:pPr>
              <w:pStyle w:val="normal1"/>
              <w:spacing w:lineRule="auto" w:line="240" w:before="120" w:after="120"/>
              <w:jc w:val="both"/>
              <w:rPr>
                <w:rFonts w:ascii="Arial" w:hAnsi="Arial" w:eastAsia="Arial" w:cs="Arial"/>
                <w:sz w:val="22"/>
                <w:szCs w:val="22"/>
              </w:rPr>
            </w:pPr>
            <w:r>
              <w:rPr>
                <w:rFonts w:eastAsia="Arial" w:cs="Arial" w:ascii="Arial" w:hAnsi="Arial"/>
                <w:sz w:val="22"/>
                <w:szCs w:val="22"/>
              </w:rPr>
            </w:r>
          </w:p>
        </w:tc>
      </w:tr>
    </w:tbl>
    <w:p>
      <w:pPr>
        <w:pStyle w:val="normal1"/>
        <w:jc w:val="both"/>
        <w:rPr>
          <w:rFonts w:ascii="Arial" w:hAnsi="Arial" w:eastAsia="Arial" w:cs="Arial"/>
          <w:position w:val="0"/>
          <w:sz w:val="22"/>
          <w:szCs w:val="22"/>
          <w:vertAlign w:val="baseline"/>
        </w:rPr>
      </w:pPr>
      <w:r>
        <w:rPr>
          <w:rFonts w:eastAsia="Arial" w:cs="Arial" w:ascii="Arial" w:hAnsi="Arial"/>
          <w:position w:val="0"/>
          <w:sz w:val="22"/>
          <w:szCs w:val="22"/>
          <w:vertAlign w:val="baseline"/>
        </w:rPr>
      </w:r>
    </w:p>
    <w:tbl>
      <w:tblPr>
        <w:tblStyle w:val="Table2"/>
        <w:tblW w:w="14618" w:type="dxa"/>
        <w:jc w:val="start"/>
        <w:tblInd w:w="-108" w:type="dxa"/>
        <w:tblLayout w:type="fixed"/>
        <w:tblCellMar>
          <w:top w:w="0" w:type="dxa"/>
          <w:start w:w="108" w:type="dxa"/>
          <w:bottom w:w="0" w:type="dxa"/>
          <w:end w:w="108" w:type="dxa"/>
        </w:tblCellMar>
        <w:tblLook w:val="0000"/>
      </w:tblPr>
      <w:tblGrid>
        <w:gridCol w:w="14618"/>
      </w:tblGrid>
      <w:tr>
        <w:trPr>
          <w:trHeight w:val="338" w:hRule="atLeast"/>
          <w:cantSplit/>
        </w:trPr>
        <w:tc>
          <w:tcPr>
            <w:tcW w:w="14618" w:type="dxa"/>
            <w:tcBorders>
              <w:top w:val="single" w:sz="4" w:space="0" w:color="000000"/>
              <w:start w:val="single" w:sz="4" w:space="0" w:color="000000"/>
              <w:bottom w:val="single" w:sz="4" w:space="0" w:color="000000"/>
              <w:end w:val="single" w:sz="4" w:space="0" w:color="000000"/>
            </w:tcBorders>
            <w:shd w:fill="F3F3F3" w:val="clear"/>
            <w:vAlign w:val="center"/>
          </w:tcPr>
          <w:p>
            <w:pPr>
              <w:pStyle w:val="normal1"/>
              <w:keepNext w:val="true"/>
              <w:keepLines w:val="false"/>
              <w:widowControl/>
              <w:numPr>
                <w:ilvl w:val="0"/>
                <w:numId w:val="4"/>
              </w:numPr>
              <w:pBdr/>
              <w:shd w:val="clear" w:fill="auto"/>
              <w:spacing w:lineRule="auto" w:line="240" w:before="0" w:after="60"/>
              <w:ind w:hanging="360" w:start="360" w:end="0"/>
              <w:jc w:val="center"/>
              <w:rPr>
                <w:rFonts w:ascii="Arial" w:hAnsi="Arial" w:eastAsia="Arial" w:cs="Arial"/>
                <w:i w:val="false"/>
                <w:caps w:val="false"/>
                <w:smallCaps w:val="false"/>
                <w:strike w:val="false"/>
                <w:dstrike w:val="false"/>
                <w:color w:val="000000"/>
                <w:position w:val="0"/>
                <w:sz w:val="22"/>
                <w:szCs w:val="22"/>
                <w:shd w:fill="auto" w:val="clear"/>
                <w:vertAlign w:val="baseline"/>
              </w:rPr>
            </w:pPr>
            <w:r>
              <w:rPr>
                <w:rFonts w:eastAsia="Arial" w:cs="Arial" w:ascii="Arial" w:hAnsi="Arial"/>
                <w:b/>
                <w:i w:val="false"/>
                <w:caps w:val="false"/>
                <w:smallCaps w:val="false"/>
                <w:strike w:val="false"/>
                <w:dstrike w:val="false"/>
                <w:color w:val="000000"/>
                <w:position w:val="0"/>
                <w:sz w:val="22"/>
                <w:szCs w:val="22"/>
                <w:u w:val="none"/>
                <w:shd w:fill="auto" w:val="clear"/>
                <w:vertAlign w:val="baseline"/>
              </w:rPr>
              <w:t>INFORMACIÓN ESPECÍFICA DEL PROCEDIMIENTO</w:t>
            </w:r>
          </w:p>
        </w:tc>
      </w:tr>
      <w:tr>
        <w:trPr>
          <w:trHeight w:val="190" w:hRule="atLeast"/>
        </w:trPr>
        <w:tc>
          <w:tcPr>
            <w:tcW w:w="14618"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426" w:leader="none"/>
              </w:tabs>
              <w:spacing w:lineRule="auto" w:line="240" w:before="120" w:after="120"/>
              <w:jc w:val="both"/>
              <w:rPr>
                <w:rFonts w:ascii="Arial" w:hAnsi="Arial" w:eastAsia="Arial" w:cs="Arial"/>
                <w:color w:val="1B1C1D"/>
                <w:sz w:val="22"/>
                <w:szCs w:val="22"/>
              </w:rPr>
            </w:pPr>
            <w:r>
              <w:rPr>
                <w:rFonts w:eastAsia="Arial" w:cs="Arial" w:ascii="Arial" w:hAnsi="Arial"/>
                <w:position w:val="0"/>
                <w:sz w:val="22"/>
                <w:szCs w:val="22"/>
                <w:vertAlign w:val="baseline"/>
              </w:rPr>
              <w:t xml:space="preserve"> </w:t>
            </w:r>
          </w:p>
          <w:p>
            <w:pPr>
              <w:pStyle w:val="Heading1"/>
              <w:keepNext w:val="false"/>
              <w:keepLines w:val="false"/>
              <w:widowControl w:val="false"/>
              <w:numPr>
                <w:ilvl w:val="1"/>
                <w:numId w:val="7"/>
              </w:numPr>
              <w:spacing w:lineRule="auto" w:line="276" w:before="0" w:after="240"/>
              <w:ind w:hanging="360" w:start="1440"/>
              <w:rPr>
                <w:rFonts w:ascii="Arial" w:hAnsi="Arial" w:eastAsia="Arial" w:cs="Arial"/>
                <w:color w:val="1B1C1D"/>
              </w:rPr>
            </w:pPr>
            <w:bookmarkStart w:id="1" w:name="_heading=h.uzc3i4rxpob9"/>
            <w:bookmarkEnd w:id="1"/>
            <w:r>
              <w:rPr>
                <w:rFonts w:eastAsia="Arial" w:cs="Arial" w:ascii="Arial" w:hAnsi="Arial"/>
                <w:color w:val="1B1C1D"/>
                <w:sz w:val="22"/>
                <w:szCs w:val="22"/>
              </w:rPr>
              <w:t>Preparación del Ítem de Ensayo</w:t>
              <w:tab/>
            </w:r>
          </w:p>
          <w:p>
            <w:pPr>
              <w:pStyle w:val="normal1"/>
              <w:ind w:hanging="0" w:start="1440"/>
              <w:rPr/>
            </w:pPr>
            <w:r>
              <w:rPr/>
            </w:r>
          </w:p>
          <w:p>
            <w:pPr>
              <w:pStyle w:val="Heading2"/>
              <w:keepNext w:val="false"/>
              <w:keepLines w:val="false"/>
              <w:widowControl w:val="false"/>
              <w:numPr>
                <w:ilvl w:val="2"/>
                <w:numId w:val="7"/>
              </w:numPr>
              <w:spacing w:lineRule="auto" w:line="276" w:before="0" w:after="240"/>
              <w:ind w:hanging="360" w:start="2160"/>
              <w:rPr>
                <w:rFonts w:ascii="Arial" w:hAnsi="Arial" w:eastAsia="Arial" w:cs="Arial"/>
                <w:color w:val="1B1C1D"/>
              </w:rPr>
            </w:pPr>
            <w:bookmarkStart w:id="2" w:name="_heading=h.f9wu6vl1pdsi"/>
            <w:bookmarkEnd w:id="2"/>
            <w:r>
              <w:rPr>
                <w:rFonts w:eastAsia="Arial" w:cs="Arial" w:ascii="Arial" w:hAnsi="Arial"/>
                <w:color w:val="1B1C1D"/>
                <w:sz w:val="22"/>
                <w:szCs w:val="22"/>
              </w:rPr>
              <w:t>Roles y responsabilidades</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 xml:space="preserve">El laboratorio CALAIRE es el único organizador y responsable de todo el ejercicio de Ensayos de Aptitud. Para garantizar una gestión y ejecución eficaces, se han definido funciones específicas dentro del equipo de CALAIRE con responsabilidades diferenciadas. </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El numeral 6.4.1 de la norma ISO/IEC 17043:2023, establece de manera inequívoca:</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"El proveedor de EA no debe utilizar proveedores de servicios externos para las siguientes actividades: a) el diseño y la planificación de los programas de EA; b) la evaluación del rendimiento; c) la autorización de informes."</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 xml:space="preserve">Nota: Ciertas tareas, en particular las relacionadas con la preparación inicial o los análisis específicos de los materiales de prueba que no impliquen una evaluación no ciega de los resultados de los participantes, podrán subcontratarse o externalizarse, siempre que esto se documente y comunique claramente. </w:t>
            </w:r>
          </w:p>
          <w:p>
            <w:pPr>
              <w:pStyle w:val="Heading3"/>
              <w:keepNext w:val="false"/>
              <w:keepLines w:val="false"/>
              <w:widowControl w:val="false"/>
              <w:spacing w:lineRule="auto" w:line="276" w:before="0" w:after="240"/>
              <w:ind w:hanging="0" w:start="0"/>
              <w:rPr>
                <w:rFonts w:ascii="Arial" w:hAnsi="Arial" w:eastAsia="Arial" w:cs="Arial"/>
                <w:color w:val="1B1C1D"/>
                <w:sz w:val="22"/>
                <w:szCs w:val="22"/>
              </w:rPr>
            </w:pPr>
            <w:bookmarkStart w:id="3" w:name="_heading=h.x63x4h7mg7vk"/>
            <w:bookmarkEnd w:id="3"/>
            <w:r>
              <w:rPr>
                <w:rFonts w:eastAsia="Arial" w:cs="Arial" w:ascii="Arial" w:hAnsi="Arial"/>
                <w:color w:val="1B1C1D"/>
                <w:sz w:val="22"/>
                <w:szCs w:val="22"/>
              </w:rPr>
              <w:t>Coordinador (Representante del proveedor de EA)</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Responsable de la planificación de recursos para el desarrollo de los ensayos de aptitud y de aprobar o no el programa de EA.</w:t>
            </w:r>
          </w:p>
          <w:p>
            <w:pPr>
              <w:pStyle w:val="Heading3"/>
              <w:keepNext w:val="false"/>
              <w:keepLines w:val="false"/>
              <w:widowControl w:val="false"/>
              <w:spacing w:lineRule="auto" w:line="276" w:before="0" w:after="240"/>
              <w:ind w:hanging="0" w:start="0"/>
              <w:rPr>
                <w:rFonts w:ascii="Arial" w:hAnsi="Arial" w:eastAsia="Arial" w:cs="Arial"/>
                <w:color w:val="1B1C1D"/>
                <w:sz w:val="22"/>
                <w:szCs w:val="22"/>
              </w:rPr>
            </w:pPr>
            <w:bookmarkStart w:id="4" w:name="_heading=h.q2bh9b7tnyz4"/>
            <w:bookmarkEnd w:id="4"/>
            <w:r>
              <w:rPr>
                <w:rFonts w:eastAsia="Arial" w:cs="Arial" w:ascii="Arial" w:hAnsi="Arial"/>
                <w:color w:val="1B1C1D"/>
                <w:sz w:val="22"/>
                <w:szCs w:val="22"/>
              </w:rPr>
              <w:t>Profesional de Proyectos</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 xml:space="preserve">Responsable de la comunicación con los participantes del EA, inscripción e ingreso al EA, envío de resultados y gestión comercial. </w:t>
            </w:r>
          </w:p>
          <w:p>
            <w:pPr>
              <w:pStyle w:val="Heading3"/>
              <w:keepNext w:val="false"/>
              <w:keepLines w:val="false"/>
              <w:widowControl w:val="false"/>
              <w:spacing w:lineRule="auto" w:line="276" w:before="0" w:after="240"/>
              <w:ind w:hanging="0" w:start="0"/>
              <w:rPr>
                <w:rFonts w:ascii="Arial" w:hAnsi="Arial" w:eastAsia="Arial" w:cs="Arial"/>
                <w:color w:val="1B1C1D"/>
                <w:sz w:val="22"/>
                <w:szCs w:val="22"/>
              </w:rPr>
            </w:pPr>
            <w:bookmarkStart w:id="5" w:name="_heading=h.wqaxkx9iyejn"/>
            <w:bookmarkEnd w:id="5"/>
            <w:r>
              <w:rPr>
                <w:rFonts w:eastAsia="Arial" w:cs="Arial" w:ascii="Arial" w:hAnsi="Arial"/>
                <w:color w:val="1B1C1D"/>
                <w:sz w:val="22"/>
                <w:szCs w:val="22"/>
              </w:rPr>
              <w:t>Experto en calidad del aire</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Garantiza la relevancia científica y la calidad del sistema de gestión para el EA, incluida la selección de medidas e intervalos de concentración apropiados.</w:t>
            </w:r>
          </w:p>
          <w:p>
            <w:pPr>
              <w:pStyle w:val="Heading3"/>
              <w:keepNext w:val="false"/>
              <w:keepLines w:val="false"/>
              <w:widowControl w:val="false"/>
              <w:spacing w:lineRule="auto" w:line="276" w:before="0" w:after="240"/>
              <w:ind w:hanging="0" w:start="0"/>
              <w:rPr>
                <w:rFonts w:ascii="Arial" w:hAnsi="Arial" w:eastAsia="Arial" w:cs="Arial"/>
                <w:color w:val="1B1C1D"/>
                <w:sz w:val="22"/>
                <w:szCs w:val="22"/>
              </w:rPr>
            </w:pPr>
            <w:bookmarkStart w:id="6" w:name="_heading=h.ks5uf5g30ef5"/>
            <w:bookmarkEnd w:id="6"/>
            <w:r>
              <w:rPr>
                <w:rFonts w:eastAsia="Arial" w:cs="Arial" w:ascii="Arial" w:hAnsi="Arial"/>
                <w:color w:val="1B1C1D"/>
                <w:sz w:val="22"/>
                <w:szCs w:val="22"/>
              </w:rPr>
              <w:t>Ingeniero Operativo</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Se encarga de los aspectos logísticos, incluyendo la preparación de los ítems de ensayo, el montaje general del EA, supervisión del montaje de equipos de los participantes, la ejecución de las pruebas de homogeneidad y estabilidad, y la interpretación inicial de los datos. Esto incluye asegurar la disponibilidad de los espacios de trabajo individuales, el suministro eléctrico y de los ítems de ensayo. También incluye el manejo de los riesgos operativos y locativos asociados al EA.</w:t>
            </w:r>
          </w:p>
          <w:p>
            <w:pPr>
              <w:pStyle w:val="Heading3"/>
              <w:keepNext w:val="false"/>
              <w:keepLines w:val="false"/>
              <w:widowControl w:val="false"/>
              <w:spacing w:lineRule="auto" w:line="276" w:before="0" w:after="240"/>
              <w:ind w:hanging="0" w:start="0"/>
              <w:rPr>
                <w:rFonts w:ascii="Arial" w:hAnsi="Arial" w:eastAsia="Arial" w:cs="Arial"/>
                <w:color w:val="1B1C1D"/>
                <w:sz w:val="22"/>
                <w:szCs w:val="22"/>
              </w:rPr>
            </w:pPr>
            <w:bookmarkStart w:id="7" w:name="_heading=h.8mbaqikr0j2o"/>
            <w:bookmarkEnd w:id="7"/>
            <w:r>
              <w:rPr>
                <w:rFonts w:eastAsia="Arial" w:cs="Arial" w:ascii="Arial" w:hAnsi="Arial"/>
                <w:color w:val="1B1C1D"/>
                <w:sz w:val="22"/>
                <w:szCs w:val="22"/>
              </w:rPr>
              <w:t>Estadístico</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Responsable del diseño estadístico del programa de EA, el análisis de resultados, la identificación de valores atípicos, el cálculo de valores asignados y puntuaciones de rendimiento (puntuaciones z, puntuaciones z', puntuaciones En), y la elaboración de comentarios de expertos sobre el rendimiento de los participantes. Esta función está autorizada para evaluar los datos para determinar la estabilidad, la homogeneidad, los valores asignados y las incertidumbres asociadas.</w:t>
            </w:r>
          </w:p>
          <w:p>
            <w:pPr>
              <w:pStyle w:val="Heading3"/>
              <w:keepNext w:val="false"/>
              <w:keepLines w:val="false"/>
              <w:widowControl w:val="false"/>
              <w:spacing w:lineRule="auto" w:line="276" w:before="0" w:after="240"/>
              <w:ind w:hanging="0" w:start="0"/>
              <w:rPr>
                <w:rFonts w:ascii="Arial" w:hAnsi="Arial" w:eastAsia="Arial" w:cs="Arial"/>
                <w:color w:val="1B1C1D"/>
                <w:sz w:val="22"/>
                <w:szCs w:val="22"/>
              </w:rPr>
            </w:pPr>
            <w:bookmarkStart w:id="8" w:name="_heading=h.4gcvrj63rluu"/>
            <w:bookmarkEnd w:id="8"/>
            <w:r>
              <w:rPr>
                <w:rFonts w:eastAsia="Arial" w:cs="Arial" w:ascii="Arial" w:hAnsi="Arial"/>
                <w:color w:val="1B1C1D"/>
                <w:sz w:val="22"/>
                <w:szCs w:val="22"/>
              </w:rPr>
              <w:t>Profesional de Gestión de Calidad</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Responsable del sistema de gestión de calidad para la realización de los EA, según la ISO-IEC 17043:2023.</w:t>
            </w:r>
          </w:p>
          <w:p>
            <w:pPr>
              <w:pStyle w:val="Heading3"/>
              <w:keepNext w:val="false"/>
              <w:keepLines w:val="false"/>
              <w:widowControl w:val="false"/>
              <w:spacing w:lineRule="auto" w:line="276" w:before="0" w:after="240"/>
              <w:ind w:hanging="0" w:start="0"/>
              <w:rPr>
                <w:rFonts w:ascii="Arial" w:hAnsi="Arial" w:eastAsia="Arial" w:cs="Arial"/>
                <w:color w:val="1B1C1D"/>
                <w:sz w:val="22"/>
                <w:szCs w:val="22"/>
              </w:rPr>
            </w:pPr>
            <w:bookmarkStart w:id="9" w:name="_heading=h.bm2r22dqh31x"/>
            <w:bookmarkEnd w:id="9"/>
            <w:r>
              <w:rPr>
                <w:rFonts w:eastAsia="Arial" w:cs="Arial" w:ascii="Arial" w:hAnsi="Arial"/>
                <w:color w:val="1B1C1D"/>
                <w:sz w:val="22"/>
                <w:szCs w:val="22"/>
              </w:rPr>
              <w:t>Auxiliar Operativo</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Encargado de asistir al Ingeniero Operativo en las actividades de instalación y montaje instrumental y logístico del EA.</w:t>
            </w:r>
          </w:p>
          <w:p>
            <w:pPr>
              <w:pStyle w:val="Heading3"/>
              <w:keepNext w:val="false"/>
              <w:keepLines w:val="false"/>
              <w:widowControl w:val="false"/>
              <w:spacing w:lineRule="auto" w:line="276" w:before="0" w:after="240"/>
              <w:ind w:hanging="0" w:start="0"/>
              <w:rPr>
                <w:rFonts w:ascii="Arial" w:hAnsi="Arial" w:eastAsia="Arial" w:cs="Arial"/>
                <w:color w:val="1B1C1D"/>
                <w:sz w:val="22"/>
                <w:szCs w:val="22"/>
              </w:rPr>
            </w:pPr>
            <w:bookmarkStart w:id="10" w:name="_heading=h.x0hz0jawawzo"/>
            <w:bookmarkEnd w:id="10"/>
            <w:r>
              <w:rPr>
                <w:rFonts w:eastAsia="Arial" w:cs="Arial" w:ascii="Arial" w:hAnsi="Arial"/>
                <w:color w:val="1B1C1D"/>
                <w:sz w:val="22"/>
                <w:szCs w:val="22"/>
              </w:rPr>
              <w:t xml:space="preserve">Participante: </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El personal del laboratorio participante en el EA, responsable de la instalación y operación instrumental de sus equipos.</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r>
          </w:p>
          <w:p>
            <w:pPr>
              <w:pStyle w:val="Heading2"/>
              <w:keepNext w:val="false"/>
              <w:keepLines w:val="false"/>
              <w:widowControl w:val="false"/>
              <w:numPr>
                <w:ilvl w:val="2"/>
                <w:numId w:val="7"/>
              </w:numPr>
              <w:spacing w:lineRule="auto" w:line="276" w:before="0" w:after="240"/>
              <w:ind w:hanging="360" w:start="2160"/>
              <w:rPr>
                <w:rFonts w:ascii="Arial" w:hAnsi="Arial" w:eastAsia="Arial" w:cs="Arial"/>
                <w:color w:val="1B1C1D"/>
              </w:rPr>
            </w:pPr>
            <w:bookmarkStart w:id="11" w:name="_heading=h.mxgjhcf21p4w"/>
            <w:bookmarkEnd w:id="11"/>
            <w:r>
              <w:rPr>
                <w:rFonts w:eastAsia="Arial" w:cs="Arial" w:ascii="Arial" w:hAnsi="Arial"/>
                <w:color w:val="1B1C1D"/>
                <w:sz w:val="22"/>
                <w:szCs w:val="22"/>
              </w:rPr>
              <w:t>Protocolo General de Comunicación</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 xml:space="preserve">La comunicación eficaz y transparente es esencial en todo el programa de EA. CALAIRE se encargará de mantener y conservar todas las comunicaciones relevantes. </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 xml:space="preserve">Los laboratorios participantes deben mantener su anonimato en correos electrónicos generales o comunicaciones grupales, a menos que se obtenga el consentimiento explícito de todas las partes involucradas. Se emplearán códigos de laboratorio para asegurar la confidencialidad en el informe de resultados. </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Las concentraciones esperadas o asignadas de los materiales de prueba se divulgarán a los participantes únicamente después de la fecha límite para la presentación de los resultados. Asimismo, los participantes serán informados previamente y por escrito sobre cualquier producto o servicio que se preste o pueda prestarse externamente, especialmente si estos afectan la validez de las actividades del EA.</w:t>
            </w:r>
          </w:p>
          <w:p>
            <w:pPr>
              <w:pStyle w:val="Heading2"/>
              <w:keepNext w:val="false"/>
              <w:keepLines w:val="false"/>
              <w:widowControl w:val="false"/>
              <w:numPr>
                <w:ilvl w:val="2"/>
                <w:numId w:val="7"/>
              </w:numPr>
              <w:spacing w:lineRule="auto" w:line="276" w:before="0" w:after="240"/>
              <w:ind w:hanging="360" w:start="2160"/>
              <w:rPr>
                <w:rFonts w:ascii="Arial" w:hAnsi="Arial" w:eastAsia="Arial" w:cs="Arial"/>
                <w:color w:val="1B1C1D"/>
              </w:rPr>
            </w:pPr>
            <w:bookmarkStart w:id="12" w:name="_heading=h.a2kyy7f3idr"/>
            <w:bookmarkEnd w:id="12"/>
            <w:r>
              <w:rPr>
                <w:rFonts w:eastAsia="Arial" w:cs="Arial" w:ascii="Arial" w:hAnsi="Arial"/>
                <w:color w:val="1B1C1D"/>
                <w:sz w:val="22"/>
                <w:szCs w:val="22"/>
              </w:rPr>
              <w:t>Política de conflicto de intereses</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Para mantener la integridad e imparcialidad se aplica estrictamente una estricta política de conflicto de intereses, alineada con los requisitos de la norma ISO/IEC 17043:2023.</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Se prohíbe la participación de cualquier laboratorio o individuo directamente involucrado en la organización o aspectos operativos de una ronda específica de CIL/EA, incluyendo:</w:t>
            </w:r>
          </w:p>
          <w:p>
            <w:pPr>
              <w:pStyle w:val="normal1"/>
              <w:widowControl w:val="false"/>
              <w:numPr>
                <w:ilvl w:val="0"/>
                <w:numId w:val="3"/>
              </w:numPr>
              <w:spacing w:lineRule="auto" w:line="276" w:before="0" w:afterAutospacing="0" w:after="0"/>
              <w:ind w:hanging="360" w:start="720"/>
              <w:rPr>
                <w:rFonts w:ascii="Arial" w:hAnsi="Arial" w:eastAsia="Arial" w:cs="Arial"/>
                <w:color w:val="1B1C1D"/>
                <w:sz w:val="22"/>
                <w:szCs w:val="22"/>
              </w:rPr>
            </w:pPr>
            <w:r>
              <w:rPr>
                <w:rFonts w:eastAsia="Arial" w:cs="Arial" w:ascii="Arial" w:hAnsi="Arial"/>
                <w:color w:val="1B1C1D"/>
                <w:sz w:val="22"/>
                <w:szCs w:val="22"/>
              </w:rPr>
              <w:t>La planificación y diseño del esquema EA.</w:t>
            </w:r>
          </w:p>
          <w:p>
            <w:pPr>
              <w:pStyle w:val="normal1"/>
              <w:widowControl w:val="false"/>
              <w:numPr>
                <w:ilvl w:val="0"/>
                <w:numId w:val="3"/>
              </w:numPr>
              <w:spacing w:lineRule="auto" w:line="276" w:before="0" w:afterAutospacing="0" w:after="0"/>
              <w:ind w:hanging="360" w:start="720"/>
              <w:rPr>
                <w:rFonts w:ascii="Arial" w:hAnsi="Arial" w:eastAsia="Arial" w:cs="Arial"/>
                <w:color w:val="1B1C1D"/>
                <w:sz w:val="22"/>
                <w:szCs w:val="22"/>
              </w:rPr>
            </w:pPr>
            <w:r>
              <w:rPr>
                <w:rFonts w:eastAsia="Arial" w:cs="Arial" w:ascii="Arial" w:hAnsi="Arial"/>
                <w:color w:val="1B1C1D"/>
                <w:sz w:val="22"/>
                <w:szCs w:val="22"/>
              </w:rPr>
              <w:t>La preparación o caracterización final del ítem de ensayo para esa ronda específica.</w:t>
            </w:r>
          </w:p>
          <w:p>
            <w:pPr>
              <w:pStyle w:val="normal1"/>
              <w:widowControl w:val="false"/>
              <w:numPr>
                <w:ilvl w:val="0"/>
                <w:numId w:val="3"/>
              </w:numPr>
              <w:spacing w:lineRule="auto" w:line="276" w:before="0" w:afterAutospacing="0" w:after="0"/>
              <w:ind w:hanging="360" w:start="720"/>
              <w:rPr>
                <w:rFonts w:ascii="Arial" w:hAnsi="Arial" w:eastAsia="Arial" w:cs="Arial"/>
                <w:color w:val="1B1C1D"/>
                <w:sz w:val="22"/>
                <w:szCs w:val="22"/>
              </w:rPr>
            </w:pPr>
            <w:r>
              <w:rPr>
                <w:rFonts w:eastAsia="Arial" w:cs="Arial" w:ascii="Arial" w:hAnsi="Arial"/>
                <w:color w:val="1B1C1D"/>
                <w:sz w:val="22"/>
                <w:szCs w:val="22"/>
              </w:rPr>
              <w:t>Análisis no ciego de elementos de prueba para evaluar la homogeneidad y la estabilidad, donde el conocimiento de las identidades de los participantes podría influir en el análisis.</w:t>
            </w:r>
          </w:p>
          <w:p>
            <w:pPr>
              <w:pStyle w:val="normal1"/>
              <w:widowControl w:val="false"/>
              <w:numPr>
                <w:ilvl w:val="0"/>
                <w:numId w:val="3"/>
              </w:numPr>
              <w:spacing w:lineRule="auto" w:line="276" w:before="0" w:after="240"/>
              <w:ind w:hanging="360" w:start="720"/>
              <w:rPr>
                <w:rFonts w:ascii="Arial" w:hAnsi="Arial" w:eastAsia="Arial" w:cs="Arial"/>
                <w:color w:val="1B1C1D"/>
                <w:sz w:val="22"/>
                <w:szCs w:val="22"/>
              </w:rPr>
            </w:pPr>
            <w:r>
              <w:rPr>
                <w:rFonts w:eastAsia="Arial" w:cs="Arial" w:ascii="Arial" w:hAnsi="Arial"/>
                <w:color w:val="1B1C1D"/>
                <w:sz w:val="22"/>
                <w:szCs w:val="22"/>
              </w:rPr>
              <w:t>La evaluación del desempeño del participante o la autorización de informes para esa ronda. No deberá participar como participante regular en ese estudio de EA específico enviando los resultados para la evaluación del desempeño.</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Se permite la participación en actividades como las pruebas de homogeneidad/estabilidad a ciegas (donde el laboratorio de pruebas desconoce los resultados o identidades esperados de los participantes). Esto no impide una participación posterior y separada en otras rondas o funciones de EA, siempre que se tomen las medidas adecuadas para asegurar la imparcialidad.</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Cualquier posible conflicto de intereses, real o percibido, que pueda surgir durante el EA se revelará inmediatamente al Coordinador y se gestionará de acuerdo con los procedimientos internos de CALAIRE para la imparcialidad y el trabajo no conforme, en relación con la divulgación y gestión.</w:t>
            </w:r>
          </w:p>
          <w:p>
            <w:pPr>
              <w:pStyle w:val="Heading2"/>
              <w:keepNext w:val="false"/>
              <w:keepLines w:val="false"/>
              <w:widowControl w:val="false"/>
              <w:numPr>
                <w:ilvl w:val="2"/>
                <w:numId w:val="7"/>
              </w:numPr>
              <w:spacing w:lineRule="auto" w:line="276" w:before="0" w:after="240"/>
              <w:ind w:hanging="360" w:start="2160"/>
              <w:rPr>
                <w:rFonts w:ascii="Arial" w:hAnsi="Arial" w:eastAsia="Arial" w:cs="Arial"/>
                <w:color w:val="1B1C1D"/>
              </w:rPr>
            </w:pPr>
            <w:bookmarkStart w:id="13" w:name="_heading=h.xw6v1mbpc2ys"/>
            <w:bookmarkEnd w:id="13"/>
            <w:r>
              <w:rPr>
                <w:rFonts w:eastAsia="Arial" w:cs="Arial" w:ascii="Arial" w:hAnsi="Arial"/>
                <w:color w:val="1B1C1D"/>
                <w:sz w:val="22"/>
                <w:szCs w:val="22"/>
              </w:rPr>
              <w:t>Cronograma General del EA</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El cronograma general del EA para gases contaminantes criterio, desglosando en un periodo de 12 meses, la duración de las diferentes instancias para el desarrollo del EA, está registrado en el Formato F-PSEA-01 Calendario Tipo.</w:t>
            </w:r>
          </w:p>
          <w:p>
            <w:pPr>
              <w:pStyle w:val="Heading2"/>
              <w:keepNext w:val="false"/>
              <w:keepLines w:val="false"/>
              <w:widowControl w:val="false"/>
              <w:numPr>
                <w:ilvl w:val="2"/>
                <w:numId w:val="7"/>
              </w:numPr>
              <w:spacing w:lineRule="auto" w:line="276" w:before="0" w:after="240"/>
              <w:ind w:hanging="360" w:start="2160"/>
              <w:rPr>
                <w:rFonts w:ascii="Arial" w:hAnsi="Arial" w:eastAsia="Arial" w:cs="Arial"/>
                <w:color w:val="1B1C1D"/>
              </w:rPr>
            </w:pPr>
            <w:bookmarkStart w:id="14" w:name="_heading=h.ugh0e8f3h10"/>
            <w:bookmarkEnd w:id="14"/>
            <w:r>
              <w:rPr>
                <w:rFonts w:eastAsia="Arial" w:cs="Arial" w:ascii="Arial" w:hAnsi="Arial"/>
                <w:color w:val="1B1C1D"/>
                <w:sz w:val="22"/>
                <w:szCs w:val="22"/>
              </w:rPr>
              <w:t>Anuncio del EA</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El anuncio especifica que el Ensayo de Aptitud es administrado exclusivamente por el Laboratorio CALAIRE, quien asume la responsabilidad integral como organizador único del programa de Ensayos de Aptitud para gases contaminantes criterio. La convocatoria se publica con antelación suficiente al inicio del ejercicio garantizando que los participantes dispongan del tiempo necesario para su adecuada preparación. La comunicación oficial se distribuye a través de los canales de comunicación establecidos por CALAIRE.</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El contenido del anuncio proporciona información fundamental dirigida a los laboratorios interesados, especificando los compuestos objeto de medición como SO</w:t>
            </w:r>
            <w:r>
              <w:rPr>
                <w:rFonts w:eastAsia="Arial" w:cs="Arial" w:ascii="Arial" w:hAnsi="Arial"/>
                <w:color w:val="1B1C1D"/>
                <w:sz w:val="22"/>
                <w:szCs w:val="22"/>
                <w:vertAlign w:val="subscript"/>
              </w:rPr>
              <w:t>2</w:t>
            </w:r>
            <w:r>
              <w:rPr>
                <w:rFonts w:eastAsia="Arial" w:cs="Arial" w:ascii="Arial" w:hAnsi="Arial"/>
                <w:color w:val="1B1C1D"/>
                <w:sz w:val="22"/>
                <w:szCs w:val="22"/>
              </w:rPr>
              <w:t>, CO, O</w:t>
            </w:r>
            <w:r>
              <w:rPr>
                <w:rFonts w:eastAsia="Arial" w:cs="Arial" w:ascii="Arial" w:hAnsi="Arial"/>
                <w:color w:val="1B1C1D"/>
                <w:sz w:val="22"/>
                <w:szCs w:val="22"/>
                <w:vertAlign w:val="subscript"/>
              </w:rPr>
              <w:t>3</w:t>
            </w:r>
            <w:r>
              <w:rPr>
                <w:rFonts w:eastAsia="Arial" w:cs="Arial" w:ascii="Arial" w:hAnsi="Arial"/>
                <w:color w:val="1B1C1D"/>
                <w:sz w:val="22"/>
                <w:szCs w:val="22"/>
              </w:rPr>
              <w:t>, NO-NO</w:t>
            </w:r>
            <w:r>
              <w:rPr>
                <w:rFonts w:eastAsia="Arial" w:cs="Arial" w:ascii="Arial" w:hAnsi="Arial"/>
                <w:color w:val="1B1C1D"/>
                <w:sz w:val="22"/>
                <w:szCs w:val="22"/>
                <w:vertAlign w:val="subscript"/>
              </w:rPr>
              <w:t>2</w:t>
            </w:r>
            <w:r>
              <w:rPr>
                <w:rFonts w:eastAsia="Arial" w:cs="Arial" w:ascii="Arial" w:hAnsi="Arial"/>
                <w:color w:val="1B1C1D"/>
                <w:sz w:val="22"/>
                <w:szCs w:val="22"/>
              </w:rPr>
              <w:t xml:space="preserve">, junto con sus niveles de concentración aproximados, mediante el DG-PSEA-01 Anuncio de EA para contaminantes criterio. </w:t>
            </w:r>
          </w:p>
          <w:p>
            <w:pPr>
              <w:pStyle w:val="Heading2"/>
              <w:keepNext w:val="false"/>
              <w:keepLines w:val="false"/>
              <w:widowControl w:val="false"/>
              <w:numPr>
                <w:ilvl w:val="2"/>
                <w:numId w:val="7"/>
              </w:numPr>
              <w:spacing w:lineRule="auto" w:line="276" w:before="0" w:after="240"/>
              <w:ind w:hanging="360" w:start="2160"/>
              <w:rPr>
                <w:rFonts w:ascii="Arial" w:hAnsi="Arial" w:eastAsia="Arial" w:cs="Arial"/>
                <w:color w:val="1B1C1D"/>
              </w:rPr>
            </w:pPr>
            <w:bookmarkStart w:id="15" w:name="_heading=h.w9w722woblyg"/>
            <w:bookmarkEnd w:id="15"/>
            <w:r>
              <w:rPr>
                <w:rFonts w:eastAsia="Arial" w:cs="Arial" w:ascii="Arial" w:hAnsi="Arial"/>
                <w:color w:val="1B1C1D"/>
                <w:sz w:val="22"/>
                <w:szCs w:val="22"/>
              </w:rPr>
              <w:t>Expresión de Interés</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Los laboratorios que deseen participar deben confirmar su interés dentro del plazo de inscripción establecido por el organizador. Esto se realiza a través de los canales designados por CALAIRE.</w:t>
            </w:r>
          </w:p>
          <w:p>
            <w:pPr>
              <w:pStyle w:val="Heading2"/>
              <w:keepNext w:val="false"/>
              <w:keepLines w:val="false"/>
              <w:widowControl w:val="false"/>
              <w:numPr>
                <w:ilvl w:val="2"/>
                <w:numId w:val="7"/>
              </w:numPr>
              <w:spacing w:lineRule="auto" w:line="276" w:before="0" w:after="240"/>
              <w:ind w:hanging="360" w:start="2160"/>
              <w:rPr>
                <w:rFonts w:ascii="Arial" w:hAnsi="Arial" w:eastAsia="Arial" w:cs="Arial"/>
                <w:color w:val="1B1C1D"/>
              </w:rPr>
            </w:pPr>
            <w:bookmarkStart w:id="16" w:name="_heading=h.1dwcmihjtmkw"/>
            <w:bookmarkEnd w:id="16"/>
            <w:r>
              <w:rPr>
                <w:rFonts w:eastAsia="Arial" w:cs="Arial" w:ascii="Arial" w:hAnsi="Arial"/>
                <w:color w:val="1B1C1D"/>
                <w:sz w:val="22"/>
                <w:szCs w:val="22"/>
              </w:rPr>
              <w:t>Selección de Participantes</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 xml:space="preserve">Si la cantidad de solicitudes excede la capacidad, CALAIRE llevará a cabo un proceso de selección. Los criterios de selección incluyen: 1) ser un Sistema de Vigilancia de Calidad del Aire, 2) la periodicidad de participación en EA anteriores organizados por CALAIRE, 3) los resultados obtenidos en los EA previos y 4) el principio de "primero en llegar, primero en ser atendido". </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Otros laboratorios relacionados con la metrología de la calidad del aire pueden ser aceptados si hay vacantes. Los participantes excluidos pueden ser incluidos en una lista de espera.</w:t>
            </w:r>
          </w:p>
          <w:p>
            <w:pPr>
              <w:pStyle w:val="Heading2"/>
              <w:keepNext w:val="false"/>
              <w:keepLines w:val="false"/>
              <w:widowControl w:val="false"/>
              <w:numPr>
                <w:ilvl w:val="2"/>
                <w:numId w:val="7"/>
              </w:numPr>
              <w:spacing w:lineRule="auto" w:line="276" w:before="0" w:after="240"/>
              <w:ind w:hanging="360" w:start="2160"/>
              <w:rPr>
                <w:rFonts w:ascii="Arial" w:hAnsi="Arial" w:eastAsia="Arial" w:cs="Arial"/>
                <w:color w:val="1B1C1D"/>
              </w:rPr>
            </w:pPr>
            <w:bookmarkStart w:id="17" w:name="_heading=h.bmgekktt55bk"/>
            <w:bookmarkEnd w:id="17"/>
            <w:r>
              <w:rPr>
                <w:rFonts w:eastAsia="Arial" w:cs="Arial" w:ascii="Arial" w:hAnsi="Arial"/>
                <w:color w:val="1B1C1D"/>
                <w:sz w:val="22"/>
                <w:szCs w:val="22"/>
              </w:rPr>
              <w:t>Invitación formal con detalles</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 xml:space="preserve">La invitación formal y detallada a los participantes se hace a través del DG-PSEA-01-Protocolo Detallado Participación en EA de Gases Contaminantes Criterio. </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La comunicación incluye los aspectos técnicos y operativos esenciales del ejercicio, estableciendo que se realizará en las instalaciones del Laboratorio CALAIRE en la Universidad Nacional de Colombia, Sede Medellín. Se detallan los requisitos de participación, incluyendo la provisión del equipo de medición completo, sistemas de adquisición de datos y estándares de viaje por parte de cada laboratorio. La información abarca el cronograma completo del EA, los costos que cada entidad asume para su participación, el esquema de evaluación, los valores de referencia y los indicadores estadísticos robustos usados. Además se incluyen las instrucciones precisas para el registro a través de plataformas web, y la información de contacto completa para resolver consultas, concluyendo con referencias a normativas y estándares técnicos relevantes</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Finalmente, se envía adjunto el I-PSEA-01 Instructivo de Embalaje y Transporte a todos los participantes para asegurar el correcto despacho de los instrumentos y cilindros.</w:t>
            </w:r>
          </w:p>
          <w:p>
            <w:pPr>
              <w:pStyle w:val="Heading2"/>
              <w:keepNext w:val="false"/>
              <w:keepLines w:val="false"/>
              <w:widowControl w:val="false"/>
              <w:numPr>
                <w:ilvl w:val="2"/>
                <w:numId w:val="7"/>
              </w:numPr>
              <w:spacing w:lineRule="auto" w:line="276" w:before="0" w:after="240"/>
              <w:ind w:hanging="360" w:start="2160"/>
              <w:rPr>
                <w:rFonts w:ascii="Arial" w:hAnsi="Arial" w:eastAsia="Arial" w:cs="Arial"/>
                <w:color w:val="1B1C1D"/>
              </w:rPr>
            </w:pPr>
            <w:bookmarkStart w:id="18" w:name="_heading=h.hiba336y32xw"/>
            <w:bookmarkEnd w:id="18"/>
            <w:r>
              <w:rPr>
                <w:rFonts w:eastAsia="Arial" w:cs="Arial" w:ascii="Arial" w:hAnsi="Arial"/>
                <w:color w:val="1B1C1D"/>
                <w:sz w:val="22"/>
                <w:szCs w:val="22"/>
              </w:rPr>
              <w:t>Registro</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El organizador es el encargado de gestionar el proceso de registro. Los participantes deben registrarse en el aplicativo para confirmar su presencia en el EA. Este registro es obligatorio. El permiso de entrada a las instalaciones de la Universidad y el Laboratorio CALAIRE se prepara basándose en los detalles proporcionados durante el registro.</w:t>
            </w:r>
          </w:p>
          <w:p>
            <w:pPr>
              <w:pStyle w:val="Heading1"/>
              <w:keepNext w:val="false"/>
              <w:keepLines w:val="false"/>
              <w:widowControl w:val="false"/>
              <w:numPr>
                <w:ilvl w:val="1"/>
                <w:numId w:val="4"/>
              </w:numPr>
              <w:spacing w:lineRule="auto" w:line="276" w:before="0" w:after="240"/>
              <w:ind w:hanging="432" w:start="792"/>
              <w:rPr>
                <w:rFonts w:ascii="Arial" w:hAnsi="Arial" w:eastAsia="Arial" w:cs="Arial"/>
                <w:color w:val="1B1C1D"/>
                <w:sz w:val="22"/>
                <w:szCs w:val="22"/>
              </w:rPr>
            </w:pPr>
            <w:bookmarkStart w:id="19" w:name="_heading=h.pjt5kp85ds5x"/>
            <w:bookmarkEnd w:id="19"/>
            <w:r>
              <w:rPr>
                <w:rFonts w:eastAsia="Arial" w:cs="Arial" w:ascii="Arial" w:hAnsi="Arial"/>
                <w:color w:val="1B1C1D"/>
                <w:sz w:val="22"/>
                <w:szCs w:val="22"/>
              </w:rPr>
              <w:t>Instalación, verificación y desmontaje instrumental</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En la siguiente etapa se describen las actividades de instalación que deben de realizar el laboratorio organizador con sus instrumentos de referencia, así como los participantes del ensayo.</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El laboratorio CALAIRE como organizador del ensayo de aptitud proveerá:</w:t>
            </w:r>
          </w:p>
          <w:p>
            <w:pPr>
              <w:pStyle w:val="normal1"/>
              <w:widowControl w:val="false"/>
              <w:numPr>
                <w:ilvl w:val="0"/>
                <w:numId w:val="9"/>
              </w:numPr>
              <w:spacing w:lineRule="auto" w:line="276" w:before="0" w:afterAutospacing="0" w:after="0"/>
              <w:ind w:hanging="360" w:start="465"/>
              <w:rPr>
                <w:rFonts w:ascii="Arial" w:hAnsi="Arial" w:eastAsia="Arial" w:cs="Arial"/>
                <w:sz w:val="22"/>
                <w:szCs w:val="22"/>
              </w:rPr>
            </w:pPr>
            <w:r>
              <w:rPr>
                <w:rFonts w:eastAsia="Arial" w:cs="Arial" w:ascii="Arial" w:hAnsi="Arial"/>
                <w:b/>
                <w:color w:val="1B1C1D"/>
                <w:sz w:val="22"/>
                <w:szCs w:val="22"/>
              </w:rPr>
              <w:t>Espacio de Trabajo Individual:</w:t>
            </w:r>
          </w:p>
          <w:p>
            <w:pPr>
              <w:pStyle w:val="normal1"/>
              <w:widowControl w:val="false"/>
              <w:numPr>
                <w:ilvl w:val="1"/>
                <w:numId w:val="6"/>
              </w:numPr>
              <w:spacing w:lineRule="auto" w:line="276" w:beforeAutospacing="0" w:before="0" w:afterAutospacing="0" w:after="0"/>
              <w:ind w:hanging="360" w:start="870"/>
              <w:rPr>
                <w:rFonts w:ascii="Arial" w:hAnsi="Arial" w:eastAsia="Arial" w:cs="Arial"/>
                <w:sz w:val="22"/>
                <w:szCs w:val="22"/>
              </w:rPr>
            </w:pPr>
            <w:r>
              <w:rPr>
                <w:rFonts w:eastAsia="Arial" w:cs="Arial" w:ascii="Arial" w:hAnsi="Arial"/>
                <w:color w:val="1B1C1D"/>
                <w:sz w:val="22"/>
                <w:szCs w:val="22"/>
              </w:rPr>
              <w:t>Un espacio adecuado para la colocación del analizador y sus equipos auxiliares.</w:t>
            </w:r>
          </w:p>
          <w:p>
            <w:pPr>
              <w:pStyle w:val="normal1"/>
              <w:widowControl w:val="false"/>
              <w:numPr>
                <w:ilvl w:val="1"/>
                <w:numId w:val="6"/>
              </w:numPr>
              <w:spacing w:lineRule="auto" w:line="276" w:beforeAutospacing="0" w:before="0" w:afterAutospacing="0" w:after="0"/>
              <w:ind w:hanging="360" w:start="870"/>
              <w:rPr>
                <w:rFonts w:ascii="Arial" w:hAnsi="Arial" w:eastAsia="Arial" w:cs="Arial"/>
                <w:sz w:val="22"/>
                <w:szCs w:val="22"/>
              </w:rPr>
            </w:pPr>
            <w:r>
              <w:rPr>
                <w:rFonts w:eastAsia="Arial" w:cs="Arial" w:ascii="Arial" w:hAnsi="Arial"/>
                <w:color w:val="1B1C1D"/>
                <w:sz w:val="22"/>
                <w:szCs w:val="22"/>
              </w:rPr>
              <w:t>Un espacio claramente etiquetado con el código de identificación del laboratorio participante.</w:t>
            </w:r>
          </w:p>
          <w:p>
            <w:pPr>
              <w:pStyle w:val="normal1"/>
              <w:widowControl w:val="false"/>
              <w:numPr>
                <w:ilvl w:val="0"/>
                <w:numId w:val="9"/>
              </w:numPr>
              <w:spacing w:lineRule="auto" w:line="276" w:beforeAutospacing="0" w:before="0" w:afterAutospacing="0" w:after="0"/>
              <w:ind w:hanging="360" w:start="465"/>
              <w:rPr>
                <w:rFonts w:ascii="Arial" w:hAnsi="Arial" w:eastAsia="Arial" w:cs="Arial"/>
                <w:sz w:val="22"/>
                <w:szCs w:val="22"/>
              </w:rPr>
            </w:pPr>
            <w:r>
              <w:rPr>
                <w:rFonts w:eastAsia="Arial" w:cs="Arial" w:ascii="Arial" w:hAnsi="Arial"/>
                <w:b/>
                <w:color w:val="1B1C1D"/>
                <w:sz w:val="22"/>
                <w:szCs w:val="22"/>
              </w:rPr>
              <w:t>Suministro Eléctrico:</w:t>
            </w:r>
          </w:p>
          <w:p>
            <w:pPr>
              <w:pStyle w:val="normal1"/>
              <w:widowControl w:val="false"/>
              <w:numPr>
                <w:ilvl w:val="1"/>
                <w:numId w:val="1"/>
              </w:numPr>
              <w:spacing w:lineRule="auto" w:line="276" w:before="0" w:afterAutospacing="0" w:after="0"/>
              <w:ind w:hanging="360" w:start="870"/>
              <w:rPr>
                <w:rFonts w:ascii="Arial" w:hAnsi="Arial" w:eastAsia="Arial" w:cs="Arial"/>
                <w:sz w:val="22"/>
                <w:szCs w:val="22"/>
              </w:rPr>
            </w:pPr>
            <w:r>
              <w:rPr>
                <w:rFonts w:eastAsia="Arial" w:cs="Arial" w:ascii="Arial" w:hAnsi="Arial"/>
                <w:color w:val="1B1C1D"/>
                <w:sz w:val="22"/>
                <w:szCs w:val="22"/>
              </w:rPr>
              <w:t>Proveer una regleta de alimentación por espacio de trabajo con un mínimo de 4 tomas de corriente.</w:t>
            </w:r>
          </w:p>
          <w:p>
            <w:pPr>
              <w:pStyle w:val="normal1"/>
              <w:widowControl w:val="false"/>
              <w:numPr>
                <w:ilvl w:val="1"/>
                <w:numId w:val="1"/>
              </w:numPr>
              <w:spacing w:lineRule="auto" w:line="276" w:beforeAutospacing="0" w:before="0" w:after="120"/>
              <w:ind w:hanging="360" w:start="870"/>
              <w:rPr>
                <w:rFonts w:ascii="Arial" w:hAnsi="Arial" w:eastAsia="Arial" w:cs="Arial"/>
                <w:sz w:val="22"/>
                <w:szCs w:val="22"/>
              </w:rPr>
            </w:pPr>
            <w:r>
              <w:rPr>
                <w:rFonts w:eastAsia="Arial" w:cs="Arial" w:ascii="Arial" w:hAnsi="Arial"/>
                <w:color w:val="1B1C1D"/>
                <w:sz w:val="22"/>
                <w:szCs w:val="22"/>
              </w:rPr>
              <w:t>El suministro eléctrico. Se debe informar a los participantes que traigan sus propios adaptadores si sus equipos tienen enchufes diferentes,</w:t>
            </w:r>
            <w:r>
              <w:rPr>
                <w:rFonts w:eastAsia="Arial" w:cs="Arial" w:ascii="Arial" w:hAnsi="Arial"/>
                <w:sz w:val="22"/>
                <w:szCs w:val="22"/>
              </w:rPr>
              <w:t xml:space="preserve"> así como cables de poder.</w:t>
            </w:r>
          </w:p>
          <w:p>
            <w:pPr>
              <w:pStyle w:val="normal1"/>
              <w:widowControl w:val="false"/>
              <w:spacing w:lineRule="auto" w:line="276" w:before="120" w:after="120"/>
              <w:ind w:hanging="0" w:start="870"/>
              <w:rPr>
                <w:rFonts w:ascii="Arial" w:hAnsi="Arial" w:eastAsia="Arial" w:cs="Arial"/>
                <w:sz w:val="22"/>
                <w:szCs w:val="22"/>
              </w:rPr>
            </w:pPr>
            <w:r>
              <w:rPr>
                <w:rFonts w:eastAsia="Arial" w:cs="Arial" w:ascii="Arial" w:hAnsi="Arial"/>
                <w:sz w:val="22"/>
                <w:szCs w:val="22"/>
              </w:rPr>
            </w:r>
          </w:p>
          <w:p>
            <w:pPr>
              <w:pStyle w:val="normal1"/>
              <w:widowControl w:val="false"/>
              <w:numPr>
                <w:ilvl w:val="0"/>
                <w:numId w:val="9"/>
              </w:numPr>
              <w:spacing w:lineRule="auto" w:line="276" w:before="120" w:afterAutospacing="0" w:after="0"/>
              <w:ind w:hanging="360" w:start="465"/>
              <w:rPr>
                <w:rFonts w:ascii="Arial" w:hAnsi="Arial" w:eastAsia="Arial" w:cs="Arial"/>
                <w:sz w:val="22"/>
                <w:szCs w:val="22"/>
              </w:rPr>
            </w:pPr>
            <w:r>
              <w:rPr>
                <w:rFonts w:eastAsia="Arial" w:cs="Arial" w:ascii="Arial" w:hAnsi="Arial"/>
                <w:b/>
                <w:color w:val="1B1C1D"/>
                <w:sz w:val="22"/>
                <w:szCs w:val="22"/>
              </w:rPr>
              <w:t>Suministro de Gas de Muestra (Ítem de Ensayo):</w:t>
            </w:r>
          </w:p>
          <w:p>
            <w:pPr>
              <w:pStyle w:val="normal1"/>
              <w:widowControl w:val="false"/>
              <w:numPr>
                <w:ilvl w:val="1"/>
                <w:numId w:val="8"/>
              </w:numPr>
              <w:spacing w:lineRule="auto" w:line="276" w:before="0" w:afterAutospacing="0" w:after="0"/>
              <w:ind w:hanging="360" w:start="870"/>
              <w:rPr>
                <w:rFonts w:ascii="Arial" w:hAnsi="Arial" w:eastAsia="Arial" w:cs="Arial"/>
                <w:sz w:val="22"/>
                <w:szCs w:val="22"/>
              </w:rPr>
            </w:pPr>
            <w:r>
              <w:rPr>
                <w:rFonts w:eastAsia="Arial" w:cs="Arial" w:ascii="Arial" w:hAnsi="Arial"/>
                <w:color w:val="1B1C1D"/>
                <w:sz w:val="22"/>
                <w:szCs w:val="22"/>
              </w:rPr>
              <w:t>El manifold de distribución de vidrio debe estar limpio, seco y posicionado de forma accesible para todos los participantes.</w:t>
            </w:r>
          </w:p>
          <w:p>
            <w:pPr>
              <w:pStyle w:val="normal1"/>
              <w:widowControl w:val="false"/>
              <w:numPr>
                <w:ilvl w:val="1"/>
                <w:numId w:val="8"/>
              </w:numPr>
              <w:spacing w:lineRule="auto" w:line="276" w:beforeAutospacing="0" w:before="0" w:afterAutospacing="0" w:after="0"/>
              <w:ind w:hanging="360" w:start="870"/>
              <w:rPr>
                <w:rFonts w:ascii="Arial" w:hAnsi="Arial" w:eastAsia="Arial" w:cs="Arial"/>
                <w:sz w:val="22"/>
                <w:szCs w:val="22"/>
              </w:rPr>
            </w:pPr>
            <w:r>
              <w:rPr>
                <w:rFonts w:eastAsia="Arial" w:cs="Arial" w:ascii="Arial" w:hAnsi="Arial"/>
                <w:color w:val="1B1C1D"/>
                <w:sz w:val="22"/>
                <w:szCs w:val="22"/>
              </w:rPr>
              <w:t>La salida del manifold debe estar equipado con un conector de teflón para la distribución del gas.</w:t>
            </w:r>
          </w:p>
          <w:p>
            <w:pPr>
              <w:pStyle w:val="normal1"/>
              <w:widowControl w:val="false"/>
              <w:numPr>
                <w:ilvl w:val="1"/>
                <w:numId w:val="8"/>
              </w:numPr>
              <w:spacing w:lineRule="auto" w:line="276" w:beforeAutospacing="0" w:before="0" w:afterAutospacing="0" w:after="0"/>
              <w:ind w:hanging="360" w:start="870"/>
              <w:rPr>
                <w:rFonts w:ascii="Arial" w:hAnsi="Arial" w:eastAsia="Arial" w:cs="Arial"/>
                <w:sz w:val="22"/>
                <w:szCs w:val="22"/>
              </w:rPr>
            </w:pPr>
            <w:r>
              <w:rPr>
                <w:rFonts w:eastAsia="Arial" w:cs="Arial" w:ascii="Arial" w:hAnsi="Arial"/>
                <w:color w:val="1B1C1D"/>
                <w:sz w:val="22"/>
                <w:szCs w:val="22"/>
              </w:rPr>
              <w:t>Los conectores no utilizados deben estar sellados con tapones ciegos para evitar fugas o dilución de la muestra.</w:t>
            </w:r>
          </w:p>
          <w:p>
            <w:pPr>
              <w:pStyle w:val="normal1"/>
              <w:widowControl w:val="false"/>
              <w:numPr>
                <w:ilvl w:val="1"/>
                <w:numId w:val="8"/>
              </w:numPr>
              <w:spacing w:lineRule="auto" w:line="276" w:beforeAutospacing="0" w:before="0" w:after="120"/>
              <w:ind w:hanging="360" w:start="870"/>
              <w:rPr>
                <w:rFonts w:ascii="Arial" w:hAnsi="Arial" w:eastAsia="Arial" w:cs="Arial"/>
                <w:sz w:val="22"/>
                <w:szCs w:val="22"/>
              </w:rPr>
            </w:pPr>
            <w:r>
              <w:rPr>
                <w:rFonts w:eastAsia="Arial" w:cs="Arial" w:ascii="Arial" w:hAnsi="Arial"/>
                <w:color w:val="1B1C1D"/>
                <w:sz w:val="22"/>
                <w:szCs w:val="22"/>
              </w:rPr>
              <w:t>El sistema debe operar con un ligero exceso de flujo para asegurar que no haya contrapresión en las líneas de los participantes. El venteo del manifold debe ser dirigido a un sistema de extracción o un destructor de ozono.</w:t>
            </w:r>
          </w:p>
          <w:p>
            <w:pPr>
              <w:pStyle w:val="normal1"/>
              <w:widowControl w:val="false"/>
              <w:spacing w:lineRule="auto" w:line="276" w:before="120" w:after="120"/>
              <w:rPr>
                <w:rFonts w:ascii="Arial" w:hAnsi="Arial" w:eastAsia="Arial" w:cs="Arial"/>
                <w:color w:val="1B1C1D"/>
                <w:sz w:val="22"/>
                <w:szCs w:val="22"/>
              </w:rPr>
            </w:pPr>
            <w:r>
              <w:rPr>
                <w:rFonts w:eastAsia="Arial" w:cs="Arial" w:ascii="Arial" w:hAnsi="Arial"/>
                <w:color w:val="1B1C1D"/>
                <w:sz w:val="22"/>
                <w:szCs w:val="22"/>
              </w:rPr>
            </w:r>
          </w:p>
          <w:p>
            <w:pPr>
              <w:pStyle w:val="Heading2"/>
              <w:keepNext w:val="false"/>
              <w:keepLines w:val="false"/>
              <w:widowControl w:val="false"/>
              <w:numPr>
                <w:ilvl w:val="2"/>
                <w:numId w:val="4"/>
              </w:numPr>
              <w:spacing w:lineRule="auto" w:line="276" w:before="0" w:after="240"/>
              <w:ind w:hanging="504" w:start="1224"/>
              <w:rPr>
                <w:rFonts w:ascii="Arial" w:hAnsi="Arial" w:eastAsia="Arial" w:cs="Arial"/>
                <w:color w:val="1B1C1D"/>
                <w:sz w:val="22"/>
                <w:szCs w:val="22"/>
              </w:rPr>
            </w:pPr>
            <w:bookmarkStart w:id="20" w:name="_heading=h.827uvde6v4qx"/>
            <w:bookmarkEnd w:id="20"/>
            <w:r>
              <w:rPr>
                <w:rFonts w:eastAsia="Arial" w:cs="Arial" w:ascii="Arial" w:hAnsi="Arial"/>
                <w:color w:val="1B1C1D"/>
                <w:sz w:val="22"/>
                <w:szCs w:val="22"/>
              </w:rPr>
              <w:t>Diagrama Esquemático de la Instalación</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En el siguiente esquema se presenta la configuración para la instalación de los analizadores de referencia, de participantes, así como los respectivos instrumentos auxiliares como calibradores dinámicos, aire cero, y generadores de ozono.</w:t>
            </w:r>
          </w:p>
          <w:tbl>
            <w:tblPr>
              <w:tblStyle w:val="Table3"/>
              <w:tblW w:w="9360" w:type="dxa"/>
              <w:jc w:val="start"/>
              <w:tblInd w:w="0" w:type="dxa"/>
              <w:tblLayout w:type="fixed"/>
              <w:tblCellMar>
                <w:top w:w="100" w:type="dxa"/>
                <w:start w:w="100" w:type="dxa"/>
                <w:bottom w:w="100" w:type="dxa"/>
                <w:end w:w="100" w:type="dxa"/>
              </w:tblCellMar>
              <w:tblLook w:val="0600"/>
            </w:tblPr>
            <w:tblGrid>
              <w:gridCol w:w="9360"/>
            </w:tblGrid>
            <w:tr>
              <w:trPr>
                <w:trHeight w:val="440" w:hRule="atLeast"/>
              </w:trPr>
              <w:tc>
                <w:tcPr>
                  <w:tcW w:w="9360" w:type="dxa"/>
                  <w:tcBorders>
                    <w:end w:val="single" w:sz="8" w:space="0" w:color="000000"/>
                  </w:tcBorders>
                  <w:shd w:fill="auto" w:val="clear"/>
                </w:tcPr>
                <w:sdt>
                  <w:sdtPr>
                    <w:tag w:val="goog_rdk_0"/>
                    <w:id w:val="-538709324"/>
                    <w:lock w:val="contentLocked"/>
                  </w:sdtPr>
                  <w:sdtContent>
                    <w:p>
                      <w:pPr>
                        <w:pStyle w:val="normal1"/>
                        <w:widowControl w:val="false"/>
                        <w:spacing w:lineRule="auto" w:line="276"/>
                        <w:rPr>
                          <w:rFonts w:ascii="Arial" w:hAnsi="Arial" w:eastAsia="Arial" w:cs="Arial"/>
                          <w:color w:val="1B1C1D"/>
                          <w:sz w:val="22"/>
                          <w:szCs w:val="22"/>
                        </w:rPr>
                      </w:pPr>
                      <w:r>
                        <w:rPr/>
                        <w:drawing>
                          <wp:inline distT="0" distB="0" distL="0" distR="0">
                            <wp:extent cx="5890895" cy="38735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5890895" cy="3873500"/>
                                    </a:xfrm>
                                    <a:prstGeom prst="rect">
                                      <a:avLst/>
                                    </a:prstGeom>
                                    <a:noFill/>
                                  </pic:spPr>
                                </pic:pic>
                              </a:graphicData>
                            </a:graphic>
                          </wp:inline>
                        </w:drawing>
                      </w:r>
                    </w:p>
                  </w:sdtContent>
                </w:sdt>
              </w:tc>
            </w:tr>
            <w:tr>
              <w:trPr>
                <w:trHeight w:val="440" w:hRule="atLeast"/>
              </w:trPr>
              <w:tc>
                <w:tcPr>
                  <w:tcW w:w="9360" w:type="dxa"/>
                  <w:tcBorders>
                    <w:end w:val="single" w:sz="8" w:space="0" w:color="000000"/>
                  </w:tcBorders>
                  <w:shd w:fill="auto" w:val="clear"/>
                </w:tcPr>
                <w:p>
                  <w:pPr>
                    <w:pStyle w:val="normal1"/>
                    <w:widowControl w:val="false"/>
                    <w:spacing w:lineRule="auto" w:line="276"/>
                    <w:rPr>
                      <w:rFonts w:ascii="Arial" w:hAnsi="Arial" w:eastAsia="Arial" w:cs="Arial"/>
                      <w:color w:val="1B1C1D"/>
                      <w:sz w:val="22"/>
                      <w:szCs w:val="22"/>
                    </w:rPr>
                  </w:pPr>
                  <w:r>
                    <w:rPr>
                      <w:rFonts w:eastAsia="Arial" w:cs="Arial" w:ascii="Arial" w:hAnsi="Arial"/>
                      <w:color w:val="1B1C1D"/>
                      <w:sz w:val="22"/>
                      <w:szCs w:val="22"/>
                    </w:rPr>
                    <w:t>Esquema de configuración para la instalación de Equipos</w:t>
                  </w:r>
                </w:p>
              </w:tc>
            </w:tr>
          </w:tbl>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 xml:space="preserve">El personal operativo del Laboratorio CALAIRE asistirá a los participantes, quienes a su vez son responsables de la instalación, verificaciones operativas, pruebas de calibración de su instrumento analizador. A continuación se presentan de manera general las acciones que todo participante debe de hacer previo el desarrollo del ensayo de aptitud. </w:t>
            </w:r>
          </w:p>
          <w:p>
            <w:pPr>
              <w:pStyle w:val="normal1"/>
              <w:keepNext w:val="false"/>
              <w:keepLines w:val="false"/>
              <w:widowControl w:val="false"/>
              <w:pBdr/>
              <w:shd w:val="clear" w:fill="auto"/>
              <w:spacing w:lineRule="auto" w:line="276" w:before="0" w:after="24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val="false"/>
                <w:i w:val="false"/>
                <w:caps w:val="false"/>
                <w:smallCaps w:val="false"/>
                <w:strike w:val="false"/>
                <w:dstrike w:val="false"/>
                <w:color w:val="1B1C1D"/>
                <w:position w:val="0"/>
                <w:sz w:val="22"/>
                <w:szCs w:val="22"/>
                <w:u w:val="none"/>
                <w:shd w:fill="auto" w:val="clear"/>
                <w:vertAlign w:val="baseline"/>
              </w:rPr>
              <w:t xml:space="preserve">El protocolo inicia con una </w:t>
            </w:r>
            <w:r>
              <w:rPr>
                <w:rFonts w:eastAsia="Arial" w:cs="Arial" w:ascii="Arial" w:hAnsi="Arial"/>
                <w:b/>
                <w:i w:val="false"/>
                <w:caps w:val="false"/>
                <w:smallCaps w:val="false"/>
                <w:strike w:val="false"/>
                <w:dstrike w:val="false"/>
                <w:color w:val="000000"/>
                <w:position w:val="0"/>
                <w:sz w:val="22"/>
                <w:szCs w:val="22"/>
                <w:u w:val="none"/>
                <w:shd w:fill="auto" w:val="clear"/>
                <w:vertAlign w:val="baseline"/>
              </w:rPr>
              <w:t>Verificación Inicial</w:t>
            </w:r>
            <w:r>
              <w:rPr>
                <w:rFonts w:eastAsia="Arial" w:cs="Arial" w:ascii="Arial" w:hAnsi="Arial"/>
                <w:b w:val="false"/>
                <w:i w:val="false"/>
                <w:caps w:val="false"/>
                <w:smallCaps w:val="false"/>
                <w:strike w:val="false"/>
                <w:dstrike w:val="false"/>
                <w:color w:val="000000"/>
                <w:position w:val="0"/>
                <w:sz w:val="22"/>
                <w:szCs w:val="22"/>
                <w:u w:val="none"/>
                <w:shd w:fill="auto" w:val="clear"/>
                <w:vertAlign w:val="baseline"/>
              </w:rPr>
              <w:t xml:space="preserve"> que abarca las </w:t>
            </w:r>
            <w:r>
              <w:rPr>
                <w:rFonts w:eastAsia="Arial" w:cs="Arial" w:ascii="Arial" w:hAnsi="Arial"/>
                <w:b/>
                <w:i w:val="false"/>
                <w:caps w:val="false"/>
                <w:smallCaps w:val="false"/>
                <w:strike w:val="false"/>
                <w:dstrike w:val="false"/>
                <w:color w:val="000000"/>
                <w:position w:val="0"/>
                <w:sz w:val="22"/>
                <w:szCs w:val="22"/>
                <w:u w:val="none"/>
                <w:shd w:fill="auto" w:val="clear"/>
                <w:vertAlign w:val="baseline"/>
              </w:rPr>
              <w:t>Conexiones Neumáticas</w:t>
            </w:r>
            <w:r>
              <w:rPr>
                <w:rFonts w:eastAsia="Arial" w:cs="Arial" w:ascii="Arial" w:hAnsi="Arial"/>
                <w:b w:val="false"/>
                <w:i w:val="false"/>
                <w:caps w:val="false"/>
                <w:smallCaps w:val="false"/>
                <w:strike w:val="false"/>
                <w:dstrike w:val="false"/>
                <w:color w:val="000000"/>
                <w:position w:val="0"/>
                <w:sz w:val="22"/>
                <w:szCs w:val="22"/>
                <w:u w:val="none"/>
                <w:shd w:fill="auto" w:val="clear"/>
                <w:vertAlign w:val="baseline"/>
              </w:rPr>
              <w:t xml:space="preserve">, donde se asegura el acoplamiento correcto de líneas de muestra, escape y gases de calibración, garantizando flujo a presión atmosférica y ausencia de partículas. Sigue la </w:t>
            </w:r>
            <w:r>
              <w:rPr>
                <w:rFonts w:eastAsia="Arial" w:cs="Arial" w:ascii="Arial" w:hAnsi="Arial"/>
                <w:b/>
                <w:i w:val="false"/>
                <w:caps w:val="false"/>
                <w:smallCaps w:val="false"/>
                <w:strike w:val="false"/>
                <w:dstrike w:val="false"/>
                <w:color w:val="000000"/>
                <w:position w:val="0"/>
                <w:sz w:val="22"/>
                <w:szCs w:val="22"/>
                <w:u w:val="none"/>
                <w:shd w:fill="auto" w:val="clear"/>
                <w:vertAlign w:val="baseline"/>
              </w:rPr>
              <w:t>Verificación de fugas</w:t>
            </w:r>
            <w:r>
              <w:rPr>
                <w:rFonts w:eastAsia="Arial" w:cs="Arial" w:ascii="Arial" w:hAnsi="Arial"/>
                <w:b w:val="false"/>
                <w:i w:val="false"/>
                <w:caps w:val="false"/>
                <w:smallCaps w:val="false"/>
                <w:strike w:val="false"/>
                <w:dstrike w:val="false"/>
                <w:color w:val="000000"/>
                <w:position w:val="0"/>
                <w:sz w:val="22"/>
                <w:szCs w:val="22"/>
                <w:u w:val="none"/>
                <w:shd w:fill="auto" w:val="clear"/>
                <w:vertAlign w:val="baseline"/>
              </w:rPr>
              <w:t>, crucial para el organizador del ensayo de aptitud, que se extiende desde el cilindro MCR hasta el manifold y las salidas de los analizadores. Antes de esta verificación, se prioriza la seguridad, desconectando el equipo, permitiendo su enfriamiento y usando protección ESD. Los métodos para detectar fugas incluyen la prueba de vacío (observando descenso de presión y flujo a casi cero) y la prueba de presión (aplicando solución jabonosa para identificar burbujas), además de diagnósticos por software.</w:t>
            </w:r>
          </w:p>
          <w:p>
            <w:pPr>
              <w:pStyle w:val="normal1"/>
              <w:keepNext w:val="false"/>
              <w:keepLines w:val="false"/>
              <w:widowControl w:val="false"/>
              <w:pBdr/>
              <w:shd w:val="clear" w:fill="auto"/>
              <w:spacing w:lineRule="auto" w:line="276" w:before="0" w:after="24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Cs w:val="22"/>
                <w:u w:val="none"/>
                <w:shd w:fill="auto" w:val="clear"/>
                <w:vertAlign w:val="baseline"/>
              </w:rPr>
              <w:t xml:space="preserve">Posteriormente, se procede a las </w:t>
            </w:r>
            <w:r>
              <w:rPr>
                <w:rFonts w:eastAsia="Arial" w:cs="Arial" w:ascii="Arial" w:hAnsi="Arial"/>
                <w:b/>
                <w:i w:val="false"/>
                <w:caps w:val="false"/>
                <w:smallCaps w:val="false"/>
                <w:strike w:val="false"/>
                <w:dstrike w:val="false"/>
                <w:color w:val="000000"/>
                <w:position w:val="0"/>
                <w:sz w:val="22"/>
                <w:szCs w:val="22"/>
                <w:u w:val="none"/>
                <w:shd w:fill="auto" w:val="clear"/>
                <w:vertAlign w:val="baseline"/>
              </w:rPr>
              <w:t>Conexiones y Encendido</w:t>
            </w:r>
            <w:r>
              <w:rPr>
                <w:rFonts w:eastAsia="Arial" w:cs="Arial" w:ascii="Arial" w:hAnsi="Arial"/>
                <w:b w:val="false"/>
                <w:i w:val="false"/>
                <w:caps w:val="false"/>
                <w:smallCaps w:val="false"/>
                <w:strike w:val="false"/>
                <w:dstrike w:val="false"/>
                <w:color w:val="000000"/>
                <w:position w:val="0"/>
                <w:sz w:val="22"/>
                <w:szCs w:val="22"/>
                <w:u w:val="none"/>
                <w:shd w:fill="auto" w:val="clear"/>
                <w:vertAlign w:val="baseline"/>
              </w:rPr>
              <w:t>. La seguridad eléctrica es fundamental, verificando la conexión a tierra y la correspondencia del voltaje. Las conexiones eléctricas incluyen la red principal y las salidas analógicas. También se establecen conexiones E/S digitales para monitoreo de estado y alarmas, y la interfaz Ethernet para comunicación. Finalmente, se encienden los equipos, permitiendo un período de calentamiento y estabilización térmica.</w:t>
            </w:r>
          </w:p>
          <w:p>
            <w:pPr>
              <w:pStyle w:val="normal1"/>
              <w:keepNext w:val="false"/>
              <w:keepLines w:val="false"/>
              <w:widowControl w:val="false"/>
              <w:pBdr/>
              <w:shd w:val="clear" w:fill="auto"/>
              <w:spacing w:lineRule="auto" w:line="276" w:before="0" w:after="24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Cs w:val="22"/>
                <w:u w:val="none"/>
                <w:shd w:fill="auto" w:val="clear"/>
                <w:vertAlign w:val="baseline"/>
              </w:rPr>
              <w:t xml:space="preserve">Una vez operativo, se realiza la </w:t>
            </w:r>
            <w:r>
              <w:rPr>
                <w:rFonts w:eastAsia="Arial" w:cs="Arial" w:ascii="Arial" w:hAnsi="Arial"/>
                <w:b/>
                <w:i w:val="false"/>
                <w:caps w:val="false"/>
                <w:smallCaps w:val="false"/>
                <w:strike w:val="false"/>
                <w:dstrike w:val="false"/>
                <w:color w:val="000000"/>
                <w:position w:val="0"/>
                <w:sz w:val="22"/>
                <w:szCs w:val="22"/>
                <w:u w:val="none"/>
                <w:shd w:fill="auto" w:val="clear"/>
                <w:vertAlign w:val="baseline"/>
              </w:rPr>
              <w:t>Verificación operativa</w:t>
            </w:r>
            <w:r>
              <w:rPr>
                <w:rFonts w:eastAsia="Arial" w:cs="Arial" w:ascii="Arial" w:hAnsi="Arial"/>
                <w:b w:val="false"/>
                <w:i w:val="false"/>
                <w:caps w:val="false"/>
                <w:smallCaps w:val="false"/>
                <w:strike w:val="false"/>
                <w:dstrike w:val="false"/>
                <w:color w:val="000000"/>
                <w:position w:val="0"/>
                <w:sz w:val="22"/>
                <w:szCs w:val="22"/>
                <w:u w:val="none"/>
                <w:shd w:fill="auto" w:val="clear"/>
                <w:vertAlign w:val="baseline"/>
              </w:rPr>
              <w:t xml:space="preserve"> para validar el estado general del instrumento. Esto implica acceder a los menús de diagnóstico para examinar parámetros críticos (voltajes, temperaturas, presiones, caudales) y compararlos con los valores de referencia de fábrica. El sistema de alarmas del instrumento monitorea continuamente, y su activación guía la resolución de problemas, permitiendo un mantenimiento predictivo.</w:t>
            </w:r>
          </w:p>
          <w:p>
            <w:pPr>
              <w:pStyle w:val="normal1"/>
              <w:keepNext w:val="false"/>
              <w:keepLines w:val="false"/>
              <w:widowControl w:val="false"/>
              <w:pBdr/>
              <w:shd w:val="clear" w:fill="auto"/>
              <w:spacing w:lineRule="auto" w:line="276" w:before="0" w:after="240"/>
              <w:ind w:hanging="0" w:start="0" w:end="0"/>
              <w:jc w:val="start"/>
              <w:rPr>
                <w:rFonts w:ascii="Arial" w:hAnsi="Arial" w:eastAsia="Arial" w:cs="Arial"/>
                <w:b w:val="false"/>
                <w:i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Cs w:val="22"/>
                <w:u w:val="none"/>
                <w:shd w:fill="auto" w:val="clear"/>
                <w:vertAlign w:val="baseline"/>
              </w:rPr>
              <w:t xml:space="preserve">Finalmente, se lleva a cabo la </w:t>
            </w:r>
            <w:r>
              <w:rPr>
                <w:rFonts w:eastAsia="Arial" w:cs="Arial" w:ascii="Arial" w:hAnsi="Arial"/>
                <w:b/>
                <w:i w:val="false"/>
                <w:caps w:val="false"/>
                <w:smallCaps w:val="false"/>
                <w:strike w:val="false"/>
                <w:dstrike w:val="false"/>
                <w:color w:val="000000"/>
                <w:position w:val="0"/>
                <w:sz w:val="22"/>
                <w:szCs w:val="22"/>
                <w:u w:val="none"/>
                <w:shd w:fill="auto" w:val="clear"/>
                <w:vertAlign w:val="baseline"/>
              </w:rPr>
              <w:t>Calibración Final</w:t>
            </w:r>
            <w:r>
              <w:rPr>
                <w:rFonts w:eastAsia="Arial" w:cs="Arial" w:ascii="Arial" w:hAnsi="Arial"/>
                <w:b w:val="false"/>
                <w:i w:val="false"/>
                <w:caps w:val="false"/>
                <w:smallCaps w:val="false"/>
                <w:strike w:val="false"/>
                <w:dstrike w:val="false"/>
                <w:color w:val="000000"/>
                <w:position w:val="0"/>
                <w:sz w:val="22"/>
                <w:szCs w:val="22"/>
                <w:u w:val="none"/>
                <w:shd w:fill="auto" w:val="clear"/>
                <w:vertAlign w:val="baseline"/>
              </w:rPr>
              <w:t>. Si el estado operacional es confirmado, se realizan verificaciones de cero, span y una calibración multipunto para identificar desviaciones y ajustar el analizador antes del inicio del ensayo de aptitud.</w:t>
            </w:r>
          </w:p>
          <w:p>
            <w:pPr>
              <w:pStyle w:val="Heading3"/>
              <w:keepNext w:val="false"/>
              <w:keepLines w:val="false"/>
              <w:widowControl w:val="false"/>
              <w:numPr>
                <w:ilvl w:val="2"/>
                <w:numId w:val="4"/>
              </w:numPr>
              <w:pBdr/>
              <w:spacing w:lineRule="auto" w:line="276" w:before="0" w:after="240"/>
              <w:ind w:hanging="504" w:start="1224"/>
              <w:rPr>
                <w:rFonts w:ascii="Arial" w:hAnsi="Arial" w:eastAsia="Arial" w:cs="Arial"/>
                <w:color w:val="434343"/>
                <w:sz w:val="22"/>
                <w:szCs w:val="22"/>
              </w:rPr>
            </w:pPr>
            <w:bookmarkStart w:id="21" w:name="_heading=h.5q8il4lrgbpu"/>
            <w:bookmarkEnd w:id="21"/>
            <w:r>
              <w:rPr>
                <w:rFonts w:eastAsia="Arial" w:cs="Arial" w:ascii="Arial" w:hAnsi="Arial"/>
                <w:color w:val="1B1C1D"/>
                <w:sz w:val="22"/>
                <w:szCs w:val="22"/>
              </w:rPr>
              <w:t>Montaje instrumental</w:t>
            </w:r>
          </w:p>
          <w:p>
            <w:pPr>
              <w:pStyle w:val="normal1"/>
              <w:pBdr/>
              <w:spacing w:lineRule="auto" w:line="276" w:before="0" w:after="240"/>
              <w:rPr>
                <w:rFonts w:ascii="Arial" w:hAnsi="Arial" w:eastAsia="Arial" w:cs="Arial"/>
                <w:color w:val="1B1C1D"/>
                <w:sz w:val="22"/>
                <w:szCs w:val="22"/>
              </w:rPr>
            </w:pPr>
            <w:r>
              <w:rPr>
                <w:rFonts w:eastAsia="Arial" w:cs="Arial" w:ascii="Arial" w:hAnsi="Arial"/>
                <w:color w:val="1B1C1D"/>
                <w:sz w:val="22"/>
                <w:szCs w:val="22"/>
              </w:rPr>
              <w:t>Una vez todos los equipos han sido revisados operativamente y se implementaron las verificaciones de rutina, cada participante procederá a la instalación de los instrumentos.</w:t>
            </w:r>
          </w:p>
          <w:p>
            <w:pPr>
              <w:pStyle w:val="Heading3"/>
              <w:keepNext w:val="false"/>
              <w:keepLines w:val="false"/>
              <w:widowControl w:val="false"/>
              <w:numPr>
                <w:ilvl w:val="2"/>
                <w:numId w:val="4"/>
              </w:numPr>
              <w:pBdr/>
              <w:spacing w:lineRule="auto" w:line="276" w:before="0" w:after="240"/>
              <w:ind w:hanging="504" w:start="1224"/>
              <w:rPr>
                <w:rFonts w:ascii="Arial" w:hAnsi="Arial" w:eastAsia="Arial" w:cs="Arial"/>
                <w:color w:val="434343"/>
                <w:sz w:val="22"/>
                <w:szCs w:val="22"/>
              </w:rPr>
            </w:pPr>
            <w:bookmarkStart w:id="22" w:name="_heading=h.q8e5mgfrc2qc"/>
            <w:bookmarkEnd w:id="22"/>
            <w:r>
              <w:rPr>
                <w:rFonts w:eastAsia="Arial" w:cs="Arial" w:ascii="Arial" w:hAnsi="Arial"/>
                <w:color w:val="1B1C1D"/>
                <w:sz w:val="22"/>
                <w:szCs w:val="22"/>
              </w:rPr>
              <w:t>Desmontaje para cambio de analizador</w:t>
            </w:r>
          </w:p>
          <w:p>
            <w:pPr>
              <w:pStyle w:val="normal1"/>
              <w:widowControl w:val="false"/>
              <w:pBdr/>
              <w:spacing w:lineRule="auto" w:line="276" w:before="0" w:after="240"/>
              <w:rPr>
                <w:rFonts w:ascii="Arial" w:hAnsi="Arial" w:eastAsia="Arial" w:cs="Arial"/>
                <w:color w:val="1B1C1D"/>
                <w:sz w:val="22"/>
                <w:szCs w:val="22"/>
              </w:rPr>
            </w:pPr>
            <w:r>
              <w:rPr>
                <w:rFonts w:eastAsia="Arial" w:cs="Arial" w:ascii="Arial" w:hAnsi="Arial"/>
                <w:color w:val="1B1C1D"/>
                <w:sz w:val="22"/>
                <w:szCs w:val="22"/>
              </w:rPr>
              <w:t>Una vez finalizado el ensayo, solamente los analizadores son cambiados.</w:t>
            </w:r>
          </w:p>
          <w:p>
            <w:pPr>
              <w:pStyle w:val="Heading2"/>
              <w:keepNext w:val="false"/>
              <w:keepLines w:val="false"/>
              <w:widowControl w:val="false"/>
              <w:numPr>
                <w:ilvl w:val="2"/>
                <w:numId w:val="4"/>
              </w:numPr>
              <w:spacing w:lineRule="auto" w:line="276" w:before="0" w:after="240"/>
              <w:ind w:hanging="504" w:start="1224"/>
              <w:rPr>
                <w:rFonts w:ascii="Arial" w:hAnsi="Arial" w:eastAsia="Arial" w:cs="Arial"/>
                <w:color w:val="1B1C1D"/>
                <w:sz w:val="22"/>
                <w:szCs w:val="22"/>
              </w:rPr>
            </w:pPr>
            <w:bookmarkStart w:id="23" w:name="_heading=h.1w620gqa09w2"/>
            <w:bookmarkEnd w:id="23"/>
            <w:r>
              <w:rPr>
                <w:rFonts w:eastAsia="Arial" w:cs="Arial" w:ascii="Arial" w:hAnsi="Arial"/>
                <w:color w:val="1B1C1D"/>
                <w:sz w:val="22"/>
                <w:szCs w:val="22"/>
              </w:rPr>
              <w:t>Desmontaje final</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Una vez finalizado el ensayo de aptitud, cada participante hace el desmonte de los analizadores y equipos auxiliares, así como son responsables del embalaje final de sus equipos, siguiendo las recomendaciones del I-PSEA-01 Instructivo de Embalaje y Transporte.</w:t>
            </w:r>
          </w:p>
          <w:p>
            <w:pPr>
              <w:pStyle w:val="Heading2"/>
              <w:keepNext w:val="false"/>
              <w:keepLines w:val="false"/>
              <w:widowControl w:val="false"/>
              <w:numPr>
                <w:ilvl w:val="2"/>
                <w:numId w:val="4"/>
              </w:numPr>
              <w:spacing w:lineRule="auto" w:line="276" w:before="0" w:after="240"/>
              <w:ind w:hanging="504" w:start="1224"/>
              <w:rPr>
                <w:rFonts w:ascii="Arial" w:hAnsi="Arial" w:eastAsia="Arial" w:cs="Arial"/>
                <w:color w:val="1B1C1D"/>
                <w:sz w:val="22"/>
                <w:szCs w:val="22"/>
              </w:rPr>
            </w:pPr>
            <w:bookmarkStart w:id="24" w:name="_heading=h.eifo9f7gz13i"/>
            <w:bookmarkEnd w:id="24"/>
            <w:r>
              <w:rPr>
                <w:rFonts w:eastAsia="Arial" w:cs="Arial" w:ascii="Arial" w:hAnsi="Arial"/>
                <w:color w:val="1B1C1D"/>
                <w:sz w:val="22"/>
                <w:szCs w:val="22"/>
              </w:rPr>
              <w:t>Riesgos Generales</w:t>
            </w:r>
          </w:p>
          <w:tbl>
            <w:tblPr>
              <w:tblStyle w:val="Table4"/>
              <w:tblW w:w="14145" w:type="dxa"/>
              <w:jc w:val="start"/>
              <w:tblInd w:w="0" w:type="dxa"/>
              <w:tblLayout w:type="fixed"/>
              <w:tblCellMar>
                <w:top w:w="100" w:type="dxa"/>
                <w:start w:w="100" w:type="dxa"/>
                <w:bottom w:w="100" w:type="dxa"/>
                <w:end w:w="100" w:type="dxa"/>
              </w:tblCellMar>
              <w:tblLook w:val="0600"/>
            </w:tblPr>
            <w:tblGrid>
              <w:gridCol w:w="4515"/>
              <w:gridCol w:w="4515"/>
              <w:gridCol w:w="5115"/>
            </w:tblGrid>
            <w:tr>
              <w:trPr>
                <w:trHeight w:val="105" w:hRule="atLeast"/>
              </w:trPr>
              <w:tc>
                <w:tcPr>
                  <w:tcW w:w="14145" w:type="dxa"/>
                  <w:gridSpan w:val="3"/>
                  <w:tcBorders>
                    <w:top w:val="single" w:sz="8" w:space="0" w:color="000000"/>
                    <w:start w:val="single" w:sz="8" w:space="0" w:color="000000"/>
                    <w:bottom w:val="single" w:sz="8" w:space="0" w:color="000000"/>
                    <w:end w:val="single" w:sz="8" w:space="0" w:color="000000"/>
                  </w:tcBorders>
                  <w:shd w:fill="auto" w:val="clear"/>
                </w:tcPr>
                <w:sdt>
                  <w:sdtPr>
                    <w:tag w:val="goog_rdk_1"/>
                    <w:id w:val="199039476"/>
                    <w:lock w:val="contentLocked"/>
                  </w:sdtPr>
                  <w:sdtContent>
                    <w:p>
                      <w:pPr>
                        <w:pStyle w:val="normal1"/>
                        <w:widowControl w:val="false"/>
                        <w:spacing w:lineRule="auto" w:line="240" w:before="0" w:after="0"/>
                        <w:rPr>
                          <w:rFonts w:ascii="Arial" w:hAnsi="Arial" w:eastAsia="Arial" w:cs="Arial"/>
                          <w:b/>
                          <w:color w:val="1B1C1D"/>
                          <w:sz w:val="22"/>
                          <w:szCs w:val="22"/>
                        </w:rPr>
                      </w:pPr>
                      <w:r>
                        <w:rPr>
                          <w:rFonts w:eastAsia="Arial" w:cs="Arial" w:ascii="Arial" w:hAnsi="Arial"/>
                          <w:b/>
                          <w:color w:val="1B1C1D"/>
                          <w:sz w:val="22"/>
                          <w:szCs w:val="22"/>
                        </w:rPr>
                        <w:t>Tabla 1. Tabla de Riesgos Generales</w:t>
                      </w:r>
                    </w:p>
                  </w:sdtContent>
                </w:sdt>
              </w:tc>
            </w:tr>
            <w:tr>
              <w:trPr/>
              <w:tc>
                <w:tcPr>
                  <w:tcW w:w="4515" w:type="dxa"/>
                  <w:tcBorders>
                    <w:top w:val="single" w:sz="8" w:space="0" w:color="000000"/>
                    <w:start w:val="single" w:sz="8" w:space="0" w:color="000000"/>
                    <w:bottom w:val="single" w:sz="8" w:space="0" w:color="000000"/>
                    <w:end w:val="single" w:sz="8" w:space="0" w:color="000000"/>
                  </w:tcBorders>
                  <w:shd w:fill="auto" w:val="clear"/>
                  <w:tcMar>
                    <w:top w:w="28" w:type="dxa"/>
                    <w:start w:w="28" w:type="dxa"/>
                    <w:bottom w:w="28" w:type="dxa"/>
                    <w:end w:w="28" w:type="dxa"/>
                  </w:tcMar>
                </w:tcPr>
                <w:p>
                  <w:pPr>
                    <w:pStyle w:val="normal1"/>
                    <w:widowControl w:val="false"/>
                    <w:spacing w:lineRule="auto" w:line="276" w:before="0" w:after="0"/>
                    <w:rPr>
                      <w:rFonts w:ascii="Arial" w:hAnsi="Arial" w:eastAsia="Arial" w:cs="Arial"/>
                      <w:b/>
                      <w:color w:val="1B1C1D"/>
                      <w:sz w:val="22"/>
                      <w:szCs w:val="22"/>
                    </w:rPr>
                  </w:pPr>
                  <w:r>
                    <w:rPr>
                      <w:rFonts w:eastAsia="Arial" w:cs="Arial" w:ascii="Arial" w:hAnsi="Arial"/>
                      <w:b/>
                      <w:color w:val="1B1C1D"/>
                      <w:sz w:val="22"/>
                      <w:szCs w:val="22"/>
                    </w:rPr>
                    <w:t>Riesgo</w:t>
                  </w:r>
                </w:p>
              </w:tc>
              <w:tc>
                <w:tcPr>
                  <w:tcW w:w="4515" w:type="dxa"/>
                  <w:tcBorders>
                    <w:top w:val="single" w:sz="8" w:space="0" w:color="000000"/>
                    <w:start w:val="single" w:sz="8" w:space="0" w:color="000000"/>
                    <w:bottom w:val="single" w:sz="8" w:space="0" w:color="000000"/>
                    <w:end w:val="single" w:sz="8" w:space="0" w:color="000000"/>
                  </w:tcBorders>
                  <w:shd w:fill="auto" w:val="clear"/>
                  <w:tcMar>
                    <w:top w:w="28" w:type="dxa"/>
                    <w:start w:w="28" w:type="dxa"/>
                    <w:bottom w:w="28" w:type="dxa"/>
                    <w:end w:w="28" w:type="dxa"/>
                  </w:tcMar>
                </w:tcPr>
                <w:p>
                  <w:pPr>
                    <w:pStyle w:val="normal1"/>
                    <w:widowControl w:val="false"/>
                    <w:spacing w:lineRule="auto" w:line="240" w:before="0" w:after="0"/>
                    <w:rPr>
                      <w:rFonts w:ascii="Arial" w:hAnsi="Arial" w:eastAsia="Arial" w:cs="Arial"/>
                      <w:b/>
                      <w:color w:val="1B1C1D"/>
                      <w:sz w:val="22"/>
                      <w:szCs w:val="22"/>
                    </w:rPr>
                  </w:pPr>
                  <w:r>
                    <w:rPr>
                      <w:rFonts w:eastAsia="Arial" w:cs="Arial" w:ascii="Arial" w:hAnsi="Arial"/>
                      <w:b/>
                      <w:color w:val="1B1C1D"/>
                      <w:sz w:val="22"/>
                      <w:szCs w:val="22"/>
                    </w:rPr>
                    <w:t>Descripción</w:t>
                  </w:r>
                </w:p>
              </w:tc>
              <w:tc>
                <w:tcPr>
                  <w:tcW w:w="5115" w:type="dxa"/>
                  <w:tcBorders>
                    <w:top w:val="single" w:sz="8" w:space="0" w:color="000000"/>
                    <w:start w:val="single" w:sz="8" w:space="0" w:color="000000"/>
                    <w:bottom w:val="single" w:sz="8" w:space="0" w:color="000000"/>
                    <w:end w:val="single" w:sz="8" w:space="0" w:color="000000"/>
                  </w:tcBorders>
                  <w:shd w:fill="auto" w:val="clear"/>
                  <w:tcMar>
                    <w:top w:w="28" w:type="dxa"/>
                    <w:start w:w="28" w:type="dxa"/>
                    <w:bottom w:w="28" w:type="dxa"/>
                    <w:end w:w="28" w:type="dxa"/>
                  </w:tcMar>
                </w:tcPr>
                <w:p>
                  <w:pPr>
                    <w:pStyle w:val="normal1"/>
                    <w:widowControl w:val="false"/>
                    <w:spacing w:lineRule="auto" w:line="276" w:before="0" w:after="0"/>
                    <w:rPr>
                      <w:rFonts w:ascii="Arial" w:hAnsi="Arial" w:eastAsia="Arial" w:cs="Arial"/>
                      <w:b/>
                      <w:color w:val="1B1C1D"/>
                      <w:sz w:val="22"/>
                      <w:szCs w:val="22"/>
                    </w:rPr>
                  </w:pPr>
                  <w:r>
                    <w:rPr>
                      <w:rFonts w:eastAsia="Arial" w:cs="Arial" w:ascii="Arial" w:hAnsi="Arial"/>
                      <w:b/>
                      <w:color w:val="1B1C1D"/>
                      <w:sz w:val="22"/>
                      <w:szCs w:val="22"/>
                    </w:rPr>
                    <w:t>Acciones de control</w:t>
                  </w:r>
                </w:p>
              </w:tc>
            </w:tr>
            <w:tr>
              <w:trPr/>
              <w:tc>
                <w:tcPr>
                  <w:tcW w:w="4515" w:type="dxa"/>
                  <w:tcBorders>
                    <w:top w:val="single" w:sz="8" w:space="0" w:color="000000"/>
                    <w:start w:val="single" w:sz="8" w:space="0" w:color="000000"/>
                    <w:bottom w:val="single" w:sz="8" w:space="0" w:color="000000"/>
                    <w:end w:val="single" w:sz="8" w:space="0" w:color="000000"/>
                  </w:tcBorders>
                  <w:shd w:fill="auto" w:val="clear"/>
                  <w:tcMar>
                    <w:top w:w="28" w:type="dxa"/>
                    <w:start w:w="28" w:type="dxa"/>
                    <w:bottom w:w="28" w:type="dxa"/>
                    <w:end w:w="28" w:type="dxa"/>
                  </w:tcMar>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Eléctrico</w:t>
                  </w:r>
                </w:p>
              </w:tc>
              <w:tc>
                <w:tcPr>
                  <w:tcW w:w="4515" w:type="dxa"/>
                  <w:tcBorders>
                    <w:top w:val="single" w:sz="8" w:space="0" w:color="000000"/>
                    <w:start w:val="single" w:sz="8" w:space="0" w:color="000000"/>
                    <w:bottom w:val="single" w:sz="8" w:space="0" w:color="000000"/>
                    <w:end w:val="single" w:sz="8" w:space="0" w:color="000000"/>
                  </w:tcBorders>
                  <w:shd w:fill="auto" w:val="clear"/>
                  <w:tcMar>
                    <w:top w:w="28" w:type="dxa"/>
                    <w:start w:w="28" w:type="dxa"/>
                    <w:bottom w:w="28" w:type="dxa"/>
                    <w:end w:w="28" w:type="dxa"/>
                  </w:tcMar>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Los principales peligros se centran en las fluctuaciones de voltaje pueden alterar la precisión de los analizadores.</w:t>
                  </w:r>
                </w:p>
              </w:tc>
              <w:tc>
                <w:tcPr>
                  <w:tcW w:w="5115" w:type="dxa"/>
                  <w:tcBorders>
                    <w:top w:val="single" w:sz="8" w:space="0" w:color="000000"/>
                    <w:start w:val="single" w:sz="8" w:space="0" w:color="000000"/>
                    <w:bottom w:val="single" w:sz="8" w:space="0" w:color="000000"/>
                    <w:end w:val="single" w:sz="8" w:space="0" w:color="000000"/>
                  </w:tcBorders>
                  <w:shd w:fill="auto" w:val="clear"/>
                  <w:tcMar>
                    <w:top w:w="28" w:type="dxa"/>
                    <w:start w:w="28" w:type="dxa"/>
                    <w:bottom w:w="28" w:type="dxa"/>
                    <w:end w:w="28" w:type="dxa"/>
                  </w:tcMar>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El organizador cuenta con un UPS que permite proteger los instrumentos en caso de falla prolongada, y hacer un apagado seguro.</w:t>
                  </w:r>
                </w:p>
              </w:tc>
            </w:tr>
            <w:tr>
              <w:trPr/>
              <w:tc>
                <w:tcPr>
                  <w:tcW w:w="4515" w:type="dxa"/>
                  <w:tcBorders>
                    <w:top w:val="single" w:sz="8" w:space="0" w:color="000000"/>
                    <w:start w:val="single" w:sz="8" w:space="0" w:color="000000"/>
                    <w:bottom w:val="single" w:sz="8" w:space="0" w:color="000000"/>
                    <w:end w:val="single" w:sz="8" w:space="0" w:color="000000"/>
                  </w:tcBorders>
                  <w:shd w:fill="auto" w:val="clear"/>
                  <w:tcMar>
                    <w:top w:w="28" w:type="dxa"/>
                    <w:start w:w="28" w:type="dxa"/>
                    <w:bottom w:w="28" w:type="dxa"/>
                    <w:end w:w="28" w:type="dxa"/>
                  </w:tcMar>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Ambiental</w:t>
                  </w:r>
                </w:p>
              </w:tc>
              <w:tc>
                <w:tcPr>
                  <w:tcW w:w="4515" w:type="dxa"/>
                  <w:tcBorders>
                    <w:top w:val="single" w:sz="8" w:space="0" w:color="000000"/>
                    <w:start w:val="single" w:sz="8" w:space="0" w:color="000000"/>
                    <w:bottom w:val="single" w:sz="8" w:space="0" w:color="000000"/>
                    <w:end w:val="single" w:sz="8" w:space="0" w:color="000000"/>
                  </w:tcBorders>
                  <w:shd w:fill="auto" w:val="clear"/>
                  <w:tcMar>
                    <w:top w:w="28" w:type="dxa"/>
                    <w:start w:w="28" w:type="dxa"/>
                    <w:bottom w:w="28" w:type="dxa"/>
                    <w:end w:w="28" w:type="dxa"/>
                  </w:tcMar>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Una falla del sistema de aire acondicionado no permitiría mantener las condiciones de temperatura y humedad adecuadas para la operación y desarrollo de la prueba.</w:t>
                  </w:r>
                </w:p>
              </w:tc>
              <w:tc>
                <w:tcPr>
                  <w:tcW w:w="5115" w:type="dxa"/>
                  <w:tcBorders>
                    <w:top w:val="single" w:sz="8" w:space="0" w:color="000000"/>
                    <w:start w:val="single" w:sz="8" w:space="0" w:color="000000"/>
                    <w:bottom w:val="single" w:sz="8" w:space="0" w:color="000000"/>
                    <w:end w:val="single" w:sz="8" w:space="0" w:color="000000"/>
                  </w:tcBorders>
                  <w:shd w:fill="auto" w:val="clear"/>
                  <w:tcMar>
                    <w:top w:w="28" w:type="dxa"/>
                    <w:start w:w="28" w:type="dxa"/>
                    <w:bottom w:w="28" w:type="dxa"/>
                    <w:end w:w="28" w:type="dxa"/>
                  </w:tcMar>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Proceder a hacer el apagado seguro de los equipos.</w:t>
                  </w:r>
                </w:p>
              </w:tc>
            </w:tr>
            <w:tr>
              <w:trPr/>
              <w:tc>
                <w:tcPr>
                  <w:tcW w:w="4515" w:type="dxa"/>
                  <w:tcBorders>
                    <w:top w:val="single" w:sz="8" w:space="0" w:color="000000"/>
                    <w:start w:val="single" w:sz="8" w:space="0" w:color="000000"/>
                    <w:bottom w:val="single" w:sz="8" w:space="0" w:color="000000"/>
                    <w:end w:val="single" w:sz="8" w:space="0" w:color="000000"/>
                  </w:tcBorders>
                  <w:shd w:fill="auto" w:val="clear"/>
                  <w:tcMar>
                    <w:top w:w="28" w:type="dxa"/>
                    <w:start w:w="28" w:type="dxa"/>
                    <w:bottom w:w="28" w:type="dxa"/>
                    <w:end w:w="28" w:type="dxa"/>
                  </w:tcMar>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Orden Público</w:t>
                  </w:r>
                </w:p>
              </w:tc>
              <w:tc>
                <w:tcPr>
                  <w:tcW w:w="4515" w:type="dxa"/>
                  <w:tcBorders>
                    <w:top w:val="single" w:sz="8" w:space="0" w:color="000000"/>
                    <w:start w:val="single" w:sz="8" w:space="0" w:color="000000"/>
                    <w:bottom w:val="single" w:sz="8" w:space="0" w:color="000000"/>
                    <w:end w:val="single" w:sz="8" w:space="0" w:color="000000"/>
                  </w:tcBorders>
                  <w:shd w:fill="auto" w:val="clear"/>
                  <w:tcMar>
                    <w:top w:w="28" w:type="dxa"/>
                    <w:start w:w="28" w:type="dxa"/>
                    <w:bottom w:w="28" w:type="dxa"/>
                    <w:end w:w="28" w:type="dxa"/>
                  </w:tcMar>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La alteración del orden público en las inmediaciones del lugar de desarrollo de la prueba, obligan a la evacuación de todo el personal</w:t>
                  </w:r>
                </w:p>
              </w:tc>
              <w:tc>
                <w:tcPr>
                  <w:tcW w:w="5115" w:type="dxa"/>
                  <w:tcBorders>
                    <w:top w:val="single" w:sz="8" w:space="0" w:color="000000"/>
                    <w:start w:val="single" w:sz="8" w:space="0" w:color="000000"/>
                    <w:bottom w:val="single" w:sz="8" w:space="0" w:color="000000"/>
                    <w:end w:val="single" w:sz="8" w:space="0" w:color="000000"/>
                  </w:tcBorders>
                  <w:shd w:fill="auto" w:val="clear"/>
                  <w:tcMar>
                    <w:top w:w="28" w:type="dxa"/>
                    <w:start w:w="28" w:type="dxa"/>
                    <w:bottom w:w="28" w:type="dxa"/>
                    <w:end w:w="28" w:type="dxa"/>
                  </w:tcMar>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Hacer apagado seguro de equipos y salir del laboratorio según el protocolo de evacuación de la universidad.</w:t>
                  </w:r>
                </w:p>
              </w:tc>
            </w:tr>
            <w:tr>
              <w:trPr/>
              <w:tc>
                <w:tcPr>
                  <w:tcW w:w="4515" w:type="dxa"/>
                  <w:tcBorders>
                    <w:top w:val="single" w:sz="8" w:space="0" w:color="000000"/>
                    <w:start w:val="single" w:sz="8" w:space="0" w:color="000000"/>
                    <w:bottom w:val="single" w:sz="8" w:space="0" w:color="000000"/>
                    <w:end w:val="single" w:sz="8" w:space="0" w:color="000000"/>
                  </w:tcBorders>
                  <w:shd w:fill="auto" w:val="clear"/>
                  <w:tcMar>
                    <w:top w:w="28" w:type="dxa"/>
                    <w:start w:w="28" w:type="dxa"/>
                    <w:bottom w:w="28" w:type="dxa"/>
                    <w:end w:w="28" w:type="dxa"/>
                  </w:tcMar>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Falla Instrumental</w:t>
                  </w:r>
                </w:p>
              </w:tc>
              <w:tc>
                <w:tcPr>
                  <w:tcW w:w="4515" w:type="dxa"/>
                  <w:tcBorders>
                    <w:top w:val="single" w:sz="8" w:space="0" w:color="000000"/>
                    <w:start w:val="single" w:sz="8" w:space="0" w:color="000000"/>
                    <w:bottom w:val="single" w:sz="8" w:space="0" w:color="000000"/>
                    <w:end w:val="single" w:sz="8" w:space="0" w:color="000000"/>
                  </w:tcBorders>
                  <w:shd w:fill="auto" w:val="clear"/>
                  <w:tcMar>
                    <w:top w:w="28" w:type="dxa"/>
                    <w:start w:w="28" w:type="dxa"/>
                    <w:bottom w:w="28" w:type="dxa"/>
                    <w:end w:w="28" w:type="dxa"/>
                  </w:tcMar>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Los equipos del organizador funcionan como referencia para la determinación del valor asignado.</w:t>
                  </w:r>
                </w:p>
              </w:tc>
              <w:tc>
                <w:tcPr>
                  <w:tcW w:w="5115" w:type="dxa"/>
                  <w:tcBorders>
                    <w:top w:val="single" w:sz="8" w:space="0" w:color="000000"/>
                    <w:start w:val="single" w:sz="8" w:space="0" w:color="000000"/>
                    <w:bottom w:val="single" w:sz="8" w:space="0" w:color="000000"/>
                    <w:end w:val="single" w:sz="8" w:space="0" w:color="000000"/>
                  </w:tcBorders>
                  <w:shd w:fill="auto" w:val="clear"/>
                  <w:tcMar>
                    <w:top w:w="28" w:type="dxa"/>
                    <w:start w:w="28" w:type="dxa"/>
                    <w:bottom w:w="28" w:type="dxa"/>
                    <w:end w:w="28" w:type="dxa"/>
                  </w:tcMar>
                </w:tcPr>
                <w:p>
                  <w:pPr>
                    <w:pStyle w:val="normal1"/>
                    <w:widowControl w:val="false"/>
                    <w:spacing w:lineRule="auto" w:line="240" w:before="0" w:after="0"/>
                    <w:rPr>
                      <w:rFonts w:ascii="Arial" w:hAnsi="Arial" w:eastAsia="Arial" w:cs="Arial"/>
                      <w:color w:val="1B1C1D"/>
                      <w:sz w:val="22"/>
                      <w:szCs w:val="22"/>
                    </w:rPr>
                  </w:pPr>
                  <w:r>
                    <w:rPr>
                      <w:rFonts w:eastAsia="Arial" w:cs="Arial" w:ascii="Arial" w:hAnsi="Arial"/>
                      <w:color w:val="1B1C1D"/>
                      <w:sz w:val="22"/>
                      <w:szCs w:val="22"/>
                    </w:rPr>
                    <w:t>El personal técnico del EA suspende la prueba. Se procede a hacer inspección/diagnóstico del instrumento. De acuerdo al impacto se evalúa la reprogramación o cancelación de la prueba para el contaminante en cuestión</w:t>
                  </w:r>
                </w:p>
              </w:tc>
            </w:tr>
          </w:tbl>
          <w:p>
            <w:pPr>
              <w:pStyle w:val="normal1"/>
              <w:rPr>
                <w:rFonts w:ascii="Arial" w:hAnsi="Arial" w:eastAsia="Arial" w:cs="Arial"/>
                <w:sz w:val="22"/>
                <w:szCs w:val="22"/>
              </w:rPr>
            </w:pPr>
            <w:r>
              <w:rPr>
                <w:rFonts w:eastAsia="Arial" w:cs="Arial" w:ascii="Arial" w:hAnsi="Arial"/>
                <w:sz w:val="22"/>
                <w:szCs w:val="22"/>
              </w:rPr>
            </w:r>
          </w:p>
          <w:p>
            <w:pPr>
              <w:pStyle w:val="Heading1"/>
              <w:keepNext w:val="false"/>
              <w:keepLines w:val="false"/>
              <w:widowControl w:val="false"/>
              <w:numPr>
                <w:ilvl w:val="1"/>
                <w:numId w:val="4"/>
              </w:numPr>
              <w:spacing w:lineRule="auto" w:line="276" w:before="0" w:after="240"/>
              <w:ind w:hanging="432" w:start="792"/>
              <w:rPr>
                <w:rFonts w:ascii="Arial" w:hAnsi="Arial" w:eastAsia="Arial" w:cs="Arial"/>
                <w:color w:val="1B1C1D"/>
                <w:sz w:val="22"/>
                <w:szCs w:val="22"/>
              </w:rPr>
            </w:pPr>
            <w:bookmarkStart w:id="25" w:name="_heading=h.1xgkarwse9bu"/>
            <w:bookmarkEnd w:id="25"/>
            <w:r>
              <w:rPr>
                <w:rFonts w:eastAsia="Arial" w:cs="Arial" w:ascii="Arial" w:hAnsi="Arial"/>
                <w:color w:val="1B1C1D"/>
                <w:sz w:val="22"/>
                <w:szCs w:val="22"/>
              </w:rPr>
              <w:t>Desarrollo del Ensayo de Aptitud</w:t>
            </w:r>
          </w:p>
          <w:p>
            <w:pPr>
              <w:pStyle w:val="normal1"/>
              <w:ind w:hanging="0" w:start="792"/>
              <w:rPr/>
            </w:pPr>
            <w:r>
              <w:rPr/>
            </w:r>
          </w:p>
          <w:p>
            <w:pPr>
              <w:pStyle w:val="Heading2"/>
              <w:keepNext w:val="false"/>
              <w:keepLines w:val="false"/>
              <w:widowControl w:val="false"/>
              <w:numPr>
                <w:ilvl w:val="2"/>
                <w:numId w:val="4"/>
              </w:numPr>
              <w:spacing w:lineRule="auto" w:line="276" w:before="0" w:after="240"/>
              <w:ind w:hanging="504" w:start="1224"/>
              <w:rPr>
                <w:rFonts w:ascii="Arial" w:hAnsi="Arial" w:eastAsia="Arial" w:cs="Arial"/>
                <w:color w:val="1B1C1D"/>
                <w:sz w:val="22"/>
                <w:szCs w:val="22"/>
              </w:rPr>
            </w:pPr>
            <w:bookmarkStart w:id="26" w:name="_heading=h.gzneerbacgy9"/>
            <w:bookmarkEnd w:id="26"/>
            <w:r>
              <w:rPr>
                <w:rFonts w:eastAsia="Arial" w:cs="Arial" w:ascii="Arial" w:hAnsi="Arial"/>
                <w:color w:val="1B1C1D"/>
                <w:sz w:val="22"/>
                <w:szCs w:val="22"/>
              </w:rPr>
              <w:t>Preparación del Ítem de Ensayo</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El ítem de ensayo consiste en concentraciones de gases contaminantes criterio en aire cero generadas dinámicamente. El ozono es generado mediante un generador de ozono, mientras que los gases (SO</w:t>
            </w:r>
            <w:r>
              <w:rPr>
                <w:rFonts w:eastAsia="Arial" w:cs="Arial" w:ascii="Arial" w:hAnsi="Arial"/>
                <w:color w:val="1B1C1D"/>
                <w:sz w:val="22"/>
                <w:szCs w:val="22"/>
                <w:vertAlign w:val="subscript"/>
              </w:rPr>
              <w:t>2</w:t>
            </w:r>
            <w:r>
              <w:rPr>
                <w:rFonts w:eastAsia="Arial" w:cs="Arial" w:ascii="Arial" w:hAnsi="Arial"/>
                <w:color w:val="1B1C1D"/>
                <w:sz w:val="22"/>
                <w:szCs w:val="22"/>
              </w:rPr>
              <w:t>, NO-NO</w:t>
            </w:r>
            <w:r>
              <w:rPr>
                <w:rFonts w:eastAsia="Arial" w:cs="Arial" w:ascii="Arial" w:hAnsi="Arial"/>
                <w:color w:val="1B1C1D"/>
                <w:sz w:val="22"/>
                <w:szCs w:val="22"/>
                <w:vertAlign w:val="subscript"/>
              </w:rPr>
              <w:t>2</w:t>
            </w:r>
            <w:r>
              <w:rPr>
                <w:rFonts w:eastAsia="Arial" w:cs="Arial" w:ascii="Arial" w:hAnsi="Arial"/>
                <w:color w:val="1B1C1D"/>
                <w:sz w:val="22"/>
                <w:szCs w:val="22"/>
              </w:rPr>
              <w:t>, CO) son generados por dilución a partir de un cilindro de mezcla de gas trazable. El gas es suministrado a través de un manifold de distribución de vidrio para asegurar la inercia del material y la homogeneidad de la muestra.</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La preparación del ítem de ensayo para cada gas contaminante criterio, así como las pruebas de homogeneidad y estabilidad están descritos en los Procedimientos para cada contaminante (P-PSEA-02 NO-NO</w:t>
            </w:r>
            <w:r>
              <w:rPr>
                <w:rFonts w:eastAsia="Arial" w:cs="Arial" w:ascii="Arial" w:hAnsi="Arial"/>
                <w:color w:val="1B1C1D"/>
                <w:sz w:val="22"/>
                <w:szCs w:val="22"/>
                <w:vertAlign w:val="subscript"/>
              </w:rPr>
              <w:t>2</w:t>
            </w:r>
            <w:r>
              <w:rPr>
                <w:rFonts w:eastAsia="Arial" w:cs="Arial" w:ascii="Arial" w:hAnsi="Arial"/>
                <w:color w:val="1B1C1D"/>
                <w:sz w:val="22"/>
                <w:szCs w:val="22"/>
              </w:rPr>
              <w:t>, P-PSEA-03 CO, P-PSEA-04 O</w:t>
            </w:r>
            <w:r>
              <w:rPr>
                <w:rFonts w:eastAsia="Arial" w:cs="Arial" w:ascii="Arial" w:hAnsi="Arial"/>
                <w:color w:val="1B1C1D"/>
                <w:sz w:val="22"/>
                <w:szCs w:val="22"/>
                <w:vertAlign w:val="subscript"/>
              </w:rPr>
              <w:t>3</w:t>
            </w:r>
            <w:r>
              <w:rPr>
                <w:rFonts w:eastAsia="Arial" w:cs="Arial" w:ascii="Arial" w:hAnsi="Arial"/>
                <w:color w:val="1B1C1D"/>
                <w:sz w:val="22"/>
                <w:szCs w:val="22"/>
              </w:rPr>
              <w:t>, P-PSEA-05 SO</w:t>
            </w:r>
            <w:r>
              <w:rPr>
                <w:rFonts w:eastAsia="Arial" w:cs="Arial" w:ascii="Arial" w:hAnsi="Arial"/>
                <w:color w:val="1B1C1D"/>
                <w:sz w:val="22"/>
                <w:szCs w:val="22"/>
                <w:vertAlign w:val="subscript"/>
              </w:rPr>
              <w:t>2</w:t>
            </w:r>
            <w:r>
              <w:rPr>
                <w:rFonts w:eastAsia="Arial" w:cs="Arial" w:ascii="Arial" w:hAnsi="Arial"/>
                <w:color w:val="1B1C1D"/>
                <w:sz w:val="22"/>
                <w:szCs w:val="22"/>
              </w:rPr>
              <w:t>).</w:t>
            </w:r>
          </w:p>
          <w:p>
            <w:pPr>
              <w:pStyle w:val="Heading2"/>
              <w:keepNext w:val="false"/>
              <w:keepLines w:val="false"/>
              <w:widowControl w:val="false"/>
              <w:numPr>
                <w:ilvl w:val="2"/>
                <w:numId w:val="4"/>
              </w:numPr>
              <w:spacing w:lineRule="auto" w:line="276" w:before="0" w:after="240"/>
              <w:ind w:hanging="504" w:start="1224"/>
              <w:rPr>
                <w:rFonts w:ascii="Arial" w:hAnsi="Arial" w:eastAsia="Arial" w:cs="Arial"/>
                <w:color w:val="1B1C1D"/>
                <w:sz w:val="22"/>
                <w:szCs w:val="22"/>
              </w:rPr>
            </w:pPr>
            <w:bookmarkStart w:id="27" w:name="_heading=h.wai0mnk2es33"/>
            <w:bookmarkEnd w:id="27"/>
            <w:r>
              <w:rPr>
                <w:rFonts w:eastAsia="Arial" w:cs="Arial" w:ascii="Arial" w:hAnsi="Arial"/>
                <w:color w:val="1B1C1D"/>
                <w:sz w:val="22"/>
                <w:szCs w:val="22"/>
              </w:rPr>
              <w:t>Determinación del Ítem de Ensayo</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 xml:space="preserve">La determinación del ítem de ensayo se lleva a cabo mediante la determinación de  las concentraciones de cada gas contaminante. Para ello se establecen un mínimo de 5 niveles y un nivel cero. La duración de cada corrida es de dos (2) horas para cada nivel, y una (1) hora para el cero. </w:t>
            </w:r>
          </w:p>
          <w:p>
            <w:pPr>
              <w:pStyle w:val="Heading1"/>
              <w:keepNext w:val="false"/>
              <w:keepLines w:val="false"/>
              <w:widowControl w:val="false"/>
              <w:numPr>
                <w:ilvl w:val="1"/>
                <w:numId w:val="4"/>
              </w:numPr>
              <w:spacing w:lineRule="auto" w:line="276" w:before="0" w:after="240"/>
              <w:ind w:hanging="432" w:start="792"/>
              <w:rPr>
                <w:rFonts w:ascii="Arial" w:hAnsi="Arial" w:eastAsia="Arial" w:cs="Arial"/>
                <w:color w:val="1B1C1D"/>
                <w:sz w:val="22"/>
                <w:szCs w:val="22"/>
              </w:rPr>
            </w:pPr>
            <w:bookmarkStart w:id="28" w:name="_heading=h.sfqc09q4pvf1"/>
            <w:bookmarkEnd w:id="28"/>
            <w:r>
              <w:rPr>
                <w:rFonts w:eastAsia="Arial" w:cs="Arial" w:ascii="Arial" w:hAnsi="Arial"/>
                <w:color w:val="1B1C1D"/>
                <w:sz w:val="22"/>
                <w:szCs w:val="22"/>
              </w:rPr>
              <w:t>Envío de Registros</w:t>
            </w:r>
          </w:p>
          <w:p>
            <w:pPr>
              <w:pStyle w:val="normal1"/>
              <w:widowControl w:val="false"/>
              <w:spacing w:lineRule="auto" w:line="276" w:before="240" w:after="240"/>
              <w:rPr>
                <w:rFonts w:ascii="Arial" w:hAnsi="Arial" w:eastAsia="Arial" w:cs="Arial"/>
                <w:color w:val="1B1C1D"/>
                <w:sz w:val="22"/>
                <w:szCs w:val="22"/>
              </w:rPr>
            </w:pPr>
            <w:r>
              <w:rPr>
                <w:rFonts w:eastAsia="Arial" w:cs="Arial" w:ascii="Arial" w:hAnsi="Arial"/>
                <w:color w:val="1B1C1D"/>
                <w:sz w:val="22"/>
                <w:szCs w:val="22"/>
              </w:rPr>
              <w:t>Posterior al desarrollo del ejercicio, los participantes deben enviar sus resultados y cuestionarios a CALAIRE mediante el aplicativo. Los requerimientos específicos se consigan en los procedimientos P-PSEA-02, P-PSEA-03, P-PSEA-04, P-PSEA-05.</w:t>
            </w:r>
          </w:p>
          <w:p>
            <w:pPr>
              <w:pStyle w:val="Heading1"/>
              <w:keepNext w:val="false"/>
              <w:keepLines w:val="false"/>
              <w:widowControl w:val="false"/>
              <w:numPr>
                <w:ilvl w:val="1"/>
                <w:numId w:val="4"/>
              </w:numPr>
              <w:spacing w:lineRule="auto" w:line="276" w:before="0" w:after="240"/>
              <w:ind w:hanging="432" w:start="792"/>
              <w:rPr>
                <w:rFonts w:ascii="Arial" w:hAnsi="Arial" w:eastAsia="Arial" w:cs="Arial"/>
                <w:color w:val="1B1C1D"/>
                <w:sz w:val="22"/>
                <w:szCs w:val="22"/>
              </w:rPr>
            </w:pPr>
            <w:bookmarkStart w:id="29" w:name="_heading=h.sk6eqdlpmvrg"/>
            <w:bookmarkEnd w:id="29"/>
            <w:r>
              <w:rPr>
                <w:rFonts w:eastAsia="Arial" w:cs="Arial" w:ascii="Arial" w:hAnsi="Arial"/>
                <w:color w:val="1B1C1D"/>
                <w:sz w:val="22"/>
                <w:szCs w:val="22"/>
              </w:rPr>
              <w:t>Análisis y reporte de resultados</w:t>
            </w:r>
          </w:p>
          <w:p>
            <w:pPr>
              <w:pStyle w:val="normal1"/>
              <w:ind w:hanging="0" w:start="792"/>
              <w:rPr/>
            </w:pPr>
            <w:r>
              <w:rPr/>
            </w:r>
          </w:p>
          <w:p>
            <w:pPr>
              <w:pStyle w:val="Heading2"/>
              <w:keepNext w:val="false"/>
              <w:keepLines w:val="false"/>
              <w:widowControl w:val="false"/>
              <w:numPr>
                <w:ilvl w:val="2"/>
                <w:numId w:val="4"/>
              </w:numPr>
              <w:spacing w:lineRule="auto" w:line="276" w:before="0" w:after="240"/>
              <w:ind w:hanging="504" w:start="1224"/>
              <w:rPr>
                <w:rFonts w:ascii="Arial" w:hAnsi="Arial" w:eastAsia="Arial" w:cs="Arial"/>
                <w:color w:val="1B1C1D"/>
                <w:sz w:val="22"/>
                <w:szCs w:val="22"/>
              </w:rPr>
            </w:pPr>
            <w:bookmarkStart w:id="30" w:name="_heading=h.1qipj1nkwdo9"/>
            <w:bookmarkEnd w:id="30"/>
            <w:r>
              <w:rPr>
                <w:rFonts w:eastAsia="Arial" w:cs="Arial" w:ascii="Arial" w:hAnsi="Arial"/>
                <w:color w:val="1B1C1D"/>
                <w:sz w:val="22"/>
                <w:szCs w:val="22"/>
              </w:rPr>
              <w:t>Procesamiento de datos</w:t>
            </w:r>
          </w:p>
          <w:p>
            <w:pPr>
              <w:pStyle w:val="normal1"/>
              <w:widowControl w:val="false"/>
              <w:spacing w:lineRule="auto" w:line="276" w:before="0" w:after="120"/>
              <w:rPr>
                <w:rFonts w:ascii="Arial" w:hAnsi="Arial" w:eastAsia="Arial" w:cs="Arial"/>
                <w:color w:val="1B1C1D"/>
                <w:sz w:val="22"/>
                <w:szCs w:val="22"/>
              </w:rPr>
            </w:pPr>
            <w:r>
              <w:rPr>
                <w:rFonts w:eastAsia="Arial" w:cs="Arial" w:ascii="Arial" w:hAnsi="Arial"/>
                <w:color w:val="1B1C1D"/>
                <w:sz w:val="22"/>
                <w:szCs w:val="22"/>
              </w:rPr>
              <w:t>De acuerdo a lo establecido en la ISO 17043:2023 y la ISO 13528:2022, los procedimientos P-PSEA-02, P-PSEA-03, P-PSEA-04, P-PSEA-05 para cada gas contaminante criterio, incluyen el proceso para el tratamiento y procesamiento estadístico de los resultados para cada gas, el cual permite identificar valores atípicos y garantizar la consistencia de los datos utilizando un aplicativo validado.</w:t>
            </w:r>
          </w:p>
          <w:p>
            <w:pPr>
              <w:pStyle w:val="normal1"/>
              <w:widowControl w:val="false"/>
              <w:spacing w:lineRule="auto" w:line="276" w:before="0" w:after="120"/>
              <w:rPr>
                <w:rFonts w:ascii="Arial" w:hAnsi="Arial" w:eastAsia="Arial" w:cs="Arial"/>
                <w:color w:val="1B1C1D"/>
                <w:sz w:val="22"/>
                <w:szCs w:val="22"/>
              </w:rPr>
            </w:pPr>
            <w:r>
              <w:rPr>
                <w:rFonts w:eastAsia="Arial" w:cs="Arial" w:ascii="Arial" w:hAnsi="Arial"/>
                <w:color w:val="1B1C1D"/>
                <w:sz w:val="22"/>
                <w:szCs w:val="22"/>
              </w:rPr>
              <w:t>De acuerdo a lo establecido en el F-PSEA-01 después de la prueba, CALAIRE contacta a los laboratorios con resultados atípicos para que investiguen la causa y, si es necesario, envíen explicaciones o resultados corregidos. La evaluación de aptitud final se lleva a cabo con el conjunto de datos corregido, lo que permite diferenciar entre errores de procedimiento y una verdadera falta de aptitud.</w:t>
            </w:r>
          </w:p>
          <w:p>
            <w:pPr>
              <w:pStyle w:val="Heading2"/>
              <w:keepNext w:val="false"/>
              <w:keepLines w:val="false"/>
              <w:widowControl w:val="false"/>
              <w:numPr>
                <w:ilvl w:val="2"/>
                <w:numId w:val="4"/>
              </w:numPr>
              <w:spacing w:lineRule="auto" w:line="276" w:before="0" w:after="240"/>
              <w:ind w:hanging="504" w:start="1224"/>
              <w:rPr>
                <w:rFonts w:ascii="Arial" w:hAnsi="Arial" w:eastAsia="Arial" w:cs="Arial"/>
                <w:color w:val="1B1C1D"/>
                <w:sz w:val="22"/>
                <w:szCs w:val="22"/>
              </w:rPr>
            </w:pPr>
            <w:bookmarkStart w:id="31" w:name="_heading=h.hmd73udeato8"/>
            <w:bookmarkEnd w:id="31"/>
            <w:r>
              <w:rPr>
                <w:rFonts w:eastAsia="Arial" w:cs="Arial" w:ascii="Arial" w:hAnsi="Arial"/>
                <w:color w:val="1B1C1D"/>
                <w:sz w:val="22"/>
                <w:szCs w:val="22"/>
              </w:rPr>
              <w:t>Evaluación del Desempeño</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 xml:space="preserve">La evaluación del desempeño se basa en el cálculo del </w:t>
            </w:r>
            <w:r>
              <w:rPr>
                <w:rFonts w:eastAsia="Arial" w:cs="Arial" w:ascii="Arial" w:hAnsi="Arial"/>
                <w:i/>
                <w:color w:val="1B1C1D"/>
                <w:sz w:val="22"/>
                <w:szCs w:val="22"/>
              </w:rPr>
              <w:t>z-score o del z'-score</w:t>
            </w:r>
            <w:r>
              <w:rPr>
                <w:rFonts w:eastAsia="Arial" w:cs="Arial" w:ascii="Arial" w:hAnsi="Arial"/>
                <w:color w:val="1B1C1D"/>
                <w:sz w:val="22"/>
                <w:szCs w:val="22"/>
              </w:rPr>
              <w:t xml:space="preserve">, dado que la incertidumbre del valor asignado puede ser significativa, así como el </w:t>
            </w:r>
            <w:r>
              <w:rPr>
                <w:rFonts w:eastAsia="Arial" w:cs="Arial" w:ascii="Arial" w:hAnsi="Arial"/>
                <w:i/>
                <w:color w:val="1B1C1D"/>
                <w:sz w:val="22"/>
                <w:szCs w:val="22"/>
              </w:rPr>
              <w:t>En-score</w:t>
            </w:r>
            <w:r>
              <w:rPr>
                <w:rFonts w:eastAsia="Arial" w:cs="Arial" w:ascii="Arial" w:hAnsi="Arial"/>
                <w:color w:val="1B1C1D"/>
                <w:sz w:val="22"/>
                <w:szCs w:val="22"/>
              </w:rPr>
              <w:t>.</w:t>
            </w:r>
          </w:p>
          <w:p>
            <w:pPr>
              <w:pStyle w:val="Heading2"/>
              <w:keepNext w:val="false"/>
              <w:keepLines w:val="false"/>
              <w:widowControl w:val="false"/>
              <w:numPr>
                <w:ilvl w:val="2"/>
                <w:numId w:val="4"/>
              </w:numPr>
              <w:spacing w:lineRule="auto" w:line="276" w:before="0" w:after="240"/>
              <w:ind w:hanging="504" w:start="1224"/>
              <w:rPr>
                <w:rFonts w:ascii="Arial" w:hAnsi="Arial" w:eastAsia="Arial" w:cs="Arial"/>
                <w:color w:val="1B1C1D"/>
                <w:sz w:val="22"/>
                <w:szCs w:val="22"/>
              </w:rPr>
            </w:pPr>
            <w:bookmarkStart w:id="32" w:name="_heading=h.hwpml9ev084w"/>
            <w:bookmarkEnd w:id="32"/>
            <w:r>
              <w:rPr>
                <w:rFonts w:eastAsia="Arial" w:cs="Arial" w:ascii="Arial" w:hAnsi="Arial"/>
                <w:color w:val="1B1C1D"/>
                <w:sz w:val="22"/>
                <w:szCs w:val="22"/>
              </w:rPr>
              <w:t>Análisis y Borrador de Informe</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La elaboración del informe preliminar que contiene los resultados de la evaluación de aptitud se ciñe al P-PSEA-06 Procedimiento de Elaboración de Informe de Resultados. Este incluye los cálculos de los parámetros de desempeño, así como la evaluación de la repetibilidad y reproducibilidad de los métodos de medición.</w:t>
            </w:r>
          </w:p>
          <w:p>
            <w:pPr>
              <w:pStyle w:val="normal1"/>
              <w:widowControl w:val="false"/>
              <w:spacing w:lineRule="auto" w:line="276" w:before="0" w:after="240"/>
              <w:rPr>
                <w:rFonts w:ascii="Arial" w:hAnsi="Arial" w:eastAsia="Arial" w:cs="Arial"/>
                <w:color w:val="1B1C1D"/>
                <w:sz w:val="22"/>
                <w:szCs w:val="22"/>
              </w:rPr>
            </w:pPr>
            <w:r>
              <w:rPr>
                <w:rFonts w:eastAsia="Arial" w:cs="Arial" w:ascii="Arial" w:hAnsi="Arial"/>
                <w:color w:val="1B1C1D"/>
                <w:sz w:val="22"/>
                <w:szCs w:val="22"/>
              </w:rPr>
              <w:t xml:space="preserve">Un punto importante a destacar es que, en esta etapa, no se permite realizar más correcciones a los resultados por parte de los participantes. </w:t>
            </w:r>
          </w:p>
          <w:p>
            <w:pPr>
              <w:pStyle w:val="Heading2"/>
              <w:keepNext w:val="false"/>
              <w:keepLines w:val="false"/>
              <w:widowControl w:val="false"/>
              <w:numPr>
                <w:ilvl w:val="2"/>
                <w:numId w:val="4"/>
              </w:numPr>
              <w:spacing w:lineRule="auto" w:line="276" w:before="0" w:after="240"/>
              <w:ind w:hanging="504" w:start="1224"/>
              <w:rPr>
                <w:rFonts w:ascii="Arial" w:hAnsi="Arial" w:eastAsia="Arial" w:cs="Arial"/>
                <w:color w:val="1B1C1D"/>
                <w:sz w:val="22"/>
                <w:szCs w:val="22"/>
              </w:rPr>
            </w:pPr>
            <w:bookmarkStart w:id="33" w:name="_heading=h.aidmp2pffhqn"/>
            <w:bookmarkEnd w:id="33"/>
            <w:r>
              <w:rPr>
                <w:rFonts w:eastAsia="Arial" w:cs="Arial" w:ascii="Arial" w:hAnsi="Arial"/>
                <w:color w:val="1B1C1D"/>
                <w:sz w:val="22"/>
                <w:szCs w:val="22"/>
              </w:rPr>
              <w:t>Emisión del Informe Final</w:t>
            </w:r>
          </w:p>
          <w:p>
            <w:pPr>
              <w:pStyle w:val="normal1"/>
              <w:widowControl w:val="false"/>
              <w:spacing w:lineRule="auto" w:line="276" w:before="0" w:after="240"/>
              <w:rPr>
                <w:rFonts w:ascii="Arial" w:hAnsi="Arial" w:eastAsia="Arial" w:cs="Arial"/>
              </w:rPr>
            </w:pPr>
            <w:r>
              <w:rPr>
                <w:rFonts w:eastAsia="Arial" w:cs="Arial" w:ascii="Arial" w:hAnsi="Arial"/>
                <w:color w:val="1B1C1D"/>
                <w:sz w:val="22"/>
                <w:szCs w:val="22"/>
              </w:rPr>
              <w:t>La etapa final del proceso es la emisión y distribución del informe final de EA según el P-PSEA-06 Procedimiento de Elaboración de Informe de Resultados, incorporando los comentarios pertinentes recibidos.</w:t>
            </w:r>
          </w:p>
          <w:p>
            <w:pPr>
              <w:pStyle w:val="normal1"/>
              <w:rPr>
                <w:rFonts w:ascii="Arial" w:hAnsi="Arial" w:eastAsia="Arial" w:cs="Arial"/>
              </w:rPr>
            </w:pPr>
            <w:r>
              <w:rPr>
                <w:rFonts w:eastAsia="Arial" w:cs="Arial" w:ascii="Arial" w:hAnsi="Arial"/>
              </w:rPr>
            </w:r>
          </w:p>
        </w:tc>
      </w:tr>
    </w:tbl>
    <w:p>
      <w:pPr>
        <w:pStyle w:val="normal1"/>
        <w:jc w:val="both"/>
        <w:rPr>
          <w:rFonts w:ascii="Arial" w:hAnsi="Arial" w:eastAsia="Arial" w:cs="Arial"/>
          <w:position w:val="0"/>
          <w:sz w:val="22"/>
          <w:szCs w:val="22"/>
          <w:vertAlign w:val="baseline"/>
        </w:rPr>
      </w:pPr>
      <w:r>
        <w:rPr>
          <w:rFonts w:eastAsia="Arial" w:cs="Arial" w:ascii="Arial" w:hAnsi="Arial"/>
          <w:position w:val="0"/>
          <w:sz w:val="22"/>
          <w:szCs w:val="22"/>
          <w:vertAlign w:val="baseline"/>
        </w:rPr>
      </w:r>
    </w:p>
    <w:tbl>
      <w:tblPr>
        <w:tblStyle w:val="Table5"/>
        <w:tblpPr w:vertAnchor="text" w:horzAnchor="text" w:leftFromText="141" w:rightFromText="141" w:tblpX="2205" w:tblpY="76"/>
        <w:tblW w:w="9993" w:type="dxa"/>
        <w:jc w:val="start"/>
        <w:tblInd w:w="-5" w:type="dxa"/>
        <w:tblLayout w:type="fixed"/>
        <w:tblCellMar>
          <w:top w:w="0" w:type="dxa"/>
          <w:start w:w="108" w:type="dxa"/>
          <w:bottom w:w="0" w:type="dxa"/>
          <w:end w:w="108" w:type="dxa"/>
        </w:tblCellMar>
        <w:tblLook w:val="0000"/>
      </w:tblPr>
      <w:tblGrid>
        <w:gridCol w:w="1079"/>
        <w:gridCol w:w="3866"/>
        <w:gridCol w:w="1182"/>
        <w:gridCol w:w="3866"/>
      </w:tblGrid>
      <w:tr>
        <w:trPr>
          <w:trHeight w:val="346" w:hRule="atLeast"/>
        </w:trPr>
        <w:tc>
          <w:tcPr>
            <w:tcW w:w="1079" w:type="dxa"/>
            <w:tcBorders>
              <w:top w:val="single" w:sz="4" w:space="0" w:color="000000"/>
              <w:start w:val="single" w:sz="4" w:space="0" w:color="000000"/>
              <w:bottom w:val="single" w:sz="4" w:space="0" w:color="000000"/>
              <w:end w:val="single" w:sz="4" w:space="0" w:color="000000"/>
            </w:tcBorders>
            <w:shd w:fill="F3F3F3" w:val="clear"/>
          </w:tcPr>
          <w:p>
            <w:pPr>
              <w:pStyle w:val="normal1"/>
              <w:spacing w:lineRule="auto" w:line="240" w:before="120" w:after="120"/>
              <w:jc w:val="center"/>
              <w:rPr>
                <w:rFonts w:ascii="Arial" w:hAnsi="Arial" w:eastAsia="Arial" w:cs="Arial"/>
                <w:position w:val="0"/>
                <w:sz w:val="22"/>
                <w:szCs w:val="22"/>
                <w:vertAlign w:val="baseline"/>
              </w:rPr>
            </w:pPr>
            <w:r>
              <w:rPr>
                <w:rFonts w:eastAsia="Arial" w:cs="Arial" w:ascii="Arial" w:hAnsi="Arial"/>
                <w:b/>
                <w:position w:val="0"/>
                <w:sz w:val="22"/>
                <w:szCs w:val="22"/>
                <w:vertAlign w:val="baseline"/>
              </w:rPr>
              <w:t>REVISÓ</w:t>
            </w:r>
          </w:p>
        </w:tc>
        <w:tc>
          <w:tcPr>
            <w:tcW w:w="3866" w:type="dxa"/>
            <w:tcBorders>
              <w:top w:val="single" w:sz="4" w:space="0" w:color="000000"/>
              <w:start w:val="single" w:sz="4" w:space="0" w:color="000000"/>
              <w:bottom w:val="single" w:sz="4" w:space="0" w:color="000000"/>
              <w:end w:val="single" w:sz="4" w:space="0" w:color="000000"/>
            </w:tcBorders>
            <w:shd w:fill="auto" w:val="clear"/>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position w:val="0"/>
                <w:sz w:val="22"/>
                <w:szCs w:val="22"/>
                <w:vertAlign w:val="baseline"/>
              </w:rPr>
            </w:r>
          </w:p>
        </w:tc>
        <w:tc>
          <w:tcPr>
            <w:tcW w:w="1182" w:type="dxa"/>
            <w:tcBorders>
              <w:top w:val="single" w:sz="4" w:space="0" w:color="000000"/>
              <w:start w:val="single" w:sz="4" w:space="0" w:color="000000"/>
              <w:bottom w:val="single" w:sz="4" w:space="0" w:color="000000"/>
              <w:end w:val="single" w:sz="4" w:space="0" w:color="000000"/>
            </w:tcBorders>
            <w:shd w:fill="F3F3F3" w:val="clear"/>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b/>
                <w:position w:val="0"/>
                <w:sz w:val="22"/>
                <w:szCs w:val="22"/>
                <w:vertAlign w:val="baseline"/>
              </w:rPr>
              <w:t>APROBÓ</w:t>
            </w:r>
          </w:p>
        </w:tc>
        <w:tc>
          <w:tcPr>
            <w:tcW w:w="38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position w:val="0"/>
                <w:sz w:val="22"/>
                <w:szCs w:val="22"/>
                <w:vertAlign w:val="baseline"/>
              </w:rPr>
            </w:r>
          </w:p>
        </w:tc>
      </w:tr>
      <w:tr>
        <w:trPr>
          <w:trHeight w:val="113" w:hRule="atLeast"/>
        </w:trPr>
        <w:tc>
          <w:tcPr>
            <w:tcW w:w="1079" w:type="dxa"/>
            <w:tcBorders>
              <w:top w:val="single" w:sz="4" w:space="0" w:color="000000"/>
              <w:start w:val="single" w:sz="4" w:space="0" w:color="000000"/>
              <w:bottom w:val="single" w:sz="4" w:space="0" w:color="000000"/>
              <w:end w:val="single" w:sz="4" w:space="0" w:color="000000"/>
            </w:tcBorders>
            <w:shd w:fill="F3F3F3" w:val="clear"/>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b/>
                <w:position w:val="0"/>
                <w:sz w:val="22"/>
                <w:szCs w:val="22"/>
                <w:vertAlign w:val="baseline"/>
              </w:rPr>
              <w:t>ROL</w:t>
            </w:r>
          </w:p>
        </w:tc>
        <w:tc>
          <w:tcPr>
            <w:tcW w:w="3866" w:type="dxa"/>
            <w:tcBorders>
              <w:top w:val="single" w:sz="4" w:space="0" w:color="000000"/>
              <w:start w:val="single" w:sz="4" w:space="0" w:color="000000"/>
              <w:bottom w:val="single" w:sz="4" w:space="0" w:color="000000"/>
              <w:end w:val="single" w:sz="4" w:space="0" w:color="000000"/>
            </w:tcBorders>
            <w:shd w:fill="auto" w:val="clear"/>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position w:val="0"/>
                <w:sz w:val="22"/>
                <w:szCs w:val="22"/>
                <w:vertAlign w:val="baseline"/>
              </w:rPr>
            </w:r>
          </w:p>
        </w:tc>
        <w:tc>
          <w:tcPr>
            <w:tcW w:w="1182" w:type="dxa"/>
            <w:tcBorders>
              <w:top w:val="single" w:sz="4" w:space="0" w:color="000000"/>
              <w:start w:val="single" w:sz="4" w:space="0" w:color="000000"/>
              <w:bottom w:val="single" w:sz="4" w:space="0" w:color="000000"/>
              <w:end w:val="single" w:sz="4" w:space="0" w:color="000000"/>
            </w:tcBorders>
            <w:shd w:fill="F3F3F3" w:val="clear"/>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b/>
                <w:position w:val="0"/>
                <w:sz w:val="22"/>
                <w:szCs w:val="22"/>
                <w:vertAlign w:val="baseline"/>
              </w:rPr>
              <w:t>ROL</w:t>
            </w:r>
          </w:p>
        </w:tc>
        <w:tc>
          <w:tcPr>
            <w:tcW w:w="38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position w:val="0"/>
                <w:sz w:val="22"/>
                <w:szCs w:val="22"/>
                <w:vertAlign w:val="baseline"/>
              </w:rPr>
            </w:r>
          </w:p>
        </w:tc>
      </w:tr>
      <w:tr>
        <w:trPr>
          <w:trHeight w:val="113" w:hRule="atLeast"/>
        </w:trPr>
        <w:tc>
          <w:tcPr>
            <w:tcW w:w="1079" w:type="dxa"/>
            <w:tcBorders>
              <w:top w:val="single" w:sz="4" w:space="0" w:color="000000"/>
              <w:start w:val="single" w:sz="4" w:space="0" w:color="000000"/>
              <w:bottom w:val="single" w:sz="4" w:space="0" w:color="000000"/>
              <w:end w:val="single" w:sz="4" w:space="0" w:color="000000"/>
            </w:tcBorders>
            <w:shd w:fill="F3F3F3" w:val="clear"/>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b/>
                <w:position w:val="0"/>
                <w:sz w:val="22"/>
                <w:szCs w:val="22"/>
                <w:vertAlign w:val="baseline"/>
              </w:rPr>
              <w:t>FECHA</w:t>
            </w:r>
          </w:p>
        </w:tc>
        <w:tc>
          <w:tcPr>
            <w:tcW w:w="3866" w:type="dxa"/>
            <w:tcBorders>
              <w:top w:val="single" w:sz="4" w:space="0" w:color="000000"/>
              <w:start w:val="single" w:sz="4" w:space="0" w:color="000000"/>
              <w:bottom w:val="single" w:sz="4" w:space="0" w:color="000000"/>
              <w:end w:val="single" w:sz="4" w:space="0" w:color="000000"/>
            </w:tcBorders>
            <w:shd w:fill="auto" w:val="clear"/>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position w:val="0"/>
                <w:sz w:val="22"/>
                <w:szCs w:val="22"/>
                <w:vertAlign w:val="baseline"/>
              </w:rPr>
            </w:r>
          </w:p>
        </w:tc>
        <w:tc>
          <w:tcPr>
            <w:tcW w:w="1182" w:type="dxa"/>
            <w:tcBorders>
              <w:top w:val="single" w:sz="4" w:space="0" w:color="000000"/>
              <w:start w:val="single" w:sz="4" w:space="0" w:color="000000"/>
              <w:bottom w:val="single" w:sz="4" w:space="0" w:color="000000"/>
              <w:end w:val="single" w:sz="4" w:space="0" w:color="000000"/>
            </w:tcBorders>
            <w:shd w:fill="F3F3F3" w:val="clear"/>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b/>
                <w:position w:val="0"/>
                <w:sz w:val="22"/>
                <w:szCs w:val="22"/>
                <w:vertAlign w:val="baseline"/>
              </w:rPr>
              <w:t>FECHA</w:t>
            </w:r>
          </w:p>
        </w:tc>
        <w:tc>
          <w:tcPr>
            <w:tcW w:w="3866" w:type="dxa"/>
            <w:tcBorders>
              <w:top w:val="single" w:sz="4" w:space="0" w:color="000000"/>
              <w:start w:val="single" w:sz="4" w:space="0" w:color="000000"/>
              <w:bottom w:val="single" w:sz="4" w:space="0" w:color="000000"/>
              <w:end w:val="single" w:sz="4" w:space="0" w:color="000000"/>
            </w:tcBorders>
          </w:tcPr>
          <w:p>
            <w:pPr>
              <w:pStyle w:val="normal1"/>
              <w:spacing w:lineRule="auto" w:line="240" w:before="120" w:after="120"/>
              <w:jc w:val="both"/>
              <w:rPr>
                <w:rFonts w:ascii="Arial" w:hAnsi="Arial" w:eastAsia="Arial" w:cs="Arial"/>
                <w:position w:val="0"/>
                <w:sz w:val="22"/>
                <w:szCs w:val="22"/>
                <w:vertAlign w:val="baseline"/>
              </w:rPr>
            </w:pPr>
            <w:r>
              <w:rPr>
                <w:rFonts w:eastAsia="Arial" w:cs="Arial" w:ascii="Arial" w:hAnsi="Arial"/>
                <w:position w:val="0"/>
                <w:sz w:val="22"/>
                <w:szCs w:val="22"/>
                <w:vertAlign w:val="baseline"/>
              </w:rPr>
            </w:r>
          </w:p>
        </w:tc>
      </w:tr>
    </w:tbl>
    <w:p>
      <w:pPr>
        <w:pStyle w:val="normal1"/>
        <w:spacing w:lineRule="auto" w:line="240" w:before="0" w:after="120"/>
        <w:jc w:val="both"/>
        <w:rPr>
          <w:rFonts w:ascii="Arial" w:hAnsi="Arial" w:eastAsia="Arial" w:cs="Arial"/>
          <w:position w:val="0"/>
          <w:sz w:val="22"/>
          <w:szCs w:val="22"/>
          <w:vertAlign w:val="baseline"/>
        </w:rPr>
      </w:pPr>
      <w:r>
        <w:rPr>
          <w:rFonts w:eastAsia="Arial" w:cs="Arial" w:ascii="Arial" w:hAnsi="Arial"/>
          <w:position w:val="0"/>
          <w:sz w:val="22"/>
          <w:szCs w:val="22"/>
          <w:vertAlign w:val="baseline"/>
        </w:rPr>
      </w:r>
    </w:p>
    <w:sectPr>
      <w:headerReference w:type="even" r:id="rId3"/>
      <w:headerReference w:type="default" r:id="rId4"/>
      <w:headerReference w:type="first" r:id="rId5"/>
      <w:type w:val="nextPage"/>
      <w:pgSz w:orient="landscape" w:w="15840" w:h="12240"/>
      <w:pgMar w:left="720" w:right="720" w:gutter="0" w:header="709" w:top="766" w:footer="0" w:bottom="72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Georgia">
    <w:charset w:val="01" w:characterSet="utf-8"/>
    <w:family w:val="roman"/>
    <w:pitch w:val="variable"/>
  </w:font>
  <w:font w:name="Arial">
    <w:charset w:val="01" w:characterSet="utf-8"/>
    <w:family w:val="roman"/>
    <w:pitch w:val="variable"/>
  </w:font>
  <w:font w:name="Aptos Display">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Tahoma">
    <w:charset w:val="01" w:characterSet="utf-8"/>
    <w:family w:val="roman"/>
    <w:pitch w:val="variable"/>
  </w:font>
  <w:font w:name="Wingdings">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position w:val="0"/>
        <w:sz w:val="22"/>
        <w:szCs w:val="22"/>
        <w:vertAlign w:val="baseline"/>
      </w:rPr>
    </w:pPr>
    <w:r>
      <w:rPr>
        <w:rFonts w:eastAsia="Arial" w:cs="Arial" w:ascii="Arial" w:hAnsi="Arial"/>
        <w:position w:val="0"/>
        <w:sz w:val="22"/>
        <w:szCs w:val="22"/>
        <w:vertAlign w:val="baseline"/>
      </w:rPr>
    </w:r>
  </w:p>
  <w:tbl>
    <w:tblPr>
      <w:tblStyle w:val="Table6"/>
      <w:tblW w:w="14630" w:type="dxa"/>
      <w:jc w:val="center"/>
      <w:tblInd w:w="0" w:type="dxa"/>
      <w:tblLayout w:type="fixed"/>
      <w:tblCellMar>
        <w:top w:w="0" w:type="dxa"/>
        <w:start w:w="108" w:type="dxa"/>
        <w:bottom w:w="0" w:type="dxa"/>
        <w:end w:w="108" w:type="dxa"/>
      </w:tblCellMar>
      <w:tblLook w:val="0000"/>
    </w:tblPr>
    <w:tblGrid>
      <w:gridCol w:w="2523"/>
      <w:gridCol w:w="9072"/>
      <w:gridCol w:w="3035"/>
    </w:tblGrid>
    <w:tr>
      <w:trPr>
        <w:cantSplit/>
      </w:trPr>
      <w:tc>
        <w:tcPr>
          <w:tcW w:w="2523"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center"/>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drawing>
              <wp:inline distT="0" distB="0" distL="0" distR="0">
                <wp:extent cx="1346835" cy="621665"/>
                <wp:effectExtent l="0" t="0" r="0" b="0"/>
                <wp:docPr id="2" name="image2.png" descr="Sin t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Sin título"/>
                        <pic:cNvPicPr>
                          <a:picLocks noChangeAspect="1" noChangeArrowheads="1"/>
                        </pic:cNvPicPr>
                      </pic:nvPicPr>
                      <pic:blipFill>
                        <a:blip r:embed="rId1"/>
                        <a:stretch>
                          <a:fillRect/>
                        </a:stretch>
                      </pic:blipFill>
                      <pic:spPr bwMode="auto">
                        <a:xfrm>
                          <a:off x="0" y="0"/>
                          <a:ext cx="1346835" cy="621665"/>
                        </a:xfrm>
                        <a:prstGeom prst="rect">
                          <a:avLst/>
                        </a:prstGeom>
                        <a:noFill/>
                      </pic:spPr>
                    </pic:pic>
                  </a:graphicData>
                </a:graphic>
              </wp:inline>
            </w:drawing>
          </w:r>
        </w:p>
      </w:tc>
      <w:tc>
        <w:tcPr>
          <w:tcW w:w="9072"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center"/>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LABORATORIO DE CALIDAD DEL AIRE</w:t>
          </w:r>
        </w:p>
      </w:tc>
      <w:tc>
        <w:tcPr>
          <w:tcW w:w="303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Código: P-PSEA-01</w:t>
          </w:r>
        </w:p>
      </w:tc>
    </w:tr>
    <w:tr>
      <w:trPr>
        <w:cantSplit/>
      </w:trPr>
      <w:tc>
        <w:tcPr>
          <w:tcW w:w="2523"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Cs w:val="20"/>
              <w:u w:val="none"/>
              <w:shd w:fill="auto" w:val="clear"/>
              <w:vertAlign w:val="baseline"/>
            </w:rPr>
          </w:r>
        </w:p>
      </w:tc>
      <w:tc>
        <w:tcPr>
          <w:tcW w:w="9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Cs w:val="20"/>
              <w:u w:val="none"/>
              <w:shd w:fill="auto" w:val="clear"/>
              <w:vertAlign w:val="baseline"/>
            </w:rPr>
          </w:r>
        </w:p>
      </w:tc>
      <w:tc>
        <w:tcPr>
          <w:tcW w:w="303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Versión: 01</w:t>
          </w:r>
        </w:p>
      </w:tc>
    </w:tr>
    <w:tr>
      <w:trPr>
        <w:cantSplit/>
      </w:trPr>
      <w:tc>
        <w:tcPr>
          <w:tcW w:w="2523"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Cs w:val="20"/>
              <w:u w:val="none"/>
              <w:shd w:fill="auto" w:val="clear"/>
              <w:vertAlign w:val="baseline"/>
            </w:rPr>
          </w:r>
        </w:p>
      </w:tc>
      <w:tc>
        <w:tcPr>
          <w:tcW w:w="907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tabs>
              <w:tab w:val="clear" w:pos="720"/>
              <w:tab w:val="center" w:pos="4252" w:leader="none"/>
              <w:tab w:val="right" w:pos="8504" w:leader="none"/>
            </w:tabs>
            <w:spacing w:lineRule="auto" w:line="240" w:before="120" w:after="120"/>
            <w:ind w:hanging="0" w:start="0" w:end="0"/>
            <w:jc w:val="center"/>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sz w:val="20"/>
              <w:szCs w:val="20"/>
            </w:rPr>
            <w:t xml:space="preserve">PROTOCOLO </w:t>
          </w: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GE</w:t>
          </w:r>
          <w:r>
            <w:rPr>
              <w:rFonts w:eastAsia="Arial" w:cs="Arial" w:ascii="Arial" w:hAnsi="Arial"/>
              <w:b/>
              <w:sz w:val="20"/>
              <w:szCs w:val="20"/>
            </w:rPr>
            <w:t xml:space="preserve">NERAL DE ENSAYO DE APTITUD </w:t>
            <w:br/>
            <w:t>PARA GASES CONTAMINANTES CRITERIO</w:t>
          </w:r>
        </w:p>
      </w:tc>
      <w:tc>
        <w:tcPr>
          <w:tcW w:w="303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 xml:space="preserve">Página </w:t>
          </w:r>
          <w:r>
            <w:rPr/>
            <w:fldChar w:fldCharType="begin"/>
          </w:r>
          <w:r>
            <w:rPr/>
            <w:instrText xml:space="preserve"> PAGE </w:instrText>
          </w:r>
          <w:r>
            <w:rPr/>
            <w:fldChar w:fldCharType="separate"/>
          </w:r>
          <w:r>
            <w:rPr/>
            <w:t>13</w:t>
          </w:r>
          <w:r>
            <w:rPr/>
            <w:fldChar w:fldCharType="end"/>
          </w: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 xml:space="preserve"> de </w:t>
          </w:r>
          <w:r>
            <w:rPr/>
            <w:fldChar w:fldCharType="begin"/>
          </w:r>
          <w:r>
            <w:rPr/>
            <w:instrText xml:space="preserve"> NUMPAGES </w:instrText>
          </w:r>
          <w:r>
            <w:rPr/>
            <w:fldChar w:fldCharType="separate"/>
          </w:r>
          <w:r>
            <w:rPr/>
            <w:t>13</w:t>
          </w:r>
          <w:r>
            <w:rPr/>
            <w:fldChar w:fldCharType="end"/>
          </w:r>
        </w:p>
      </w:tc>
    </w:tr>
  </w:tbl>
  <w:p>
    <w:pPr>
      <w:pStyle w:val="normal1"/>
      <w:keepNext w:val="false"/>
      <w:keepLines w:val="false"/>
      <w:pageBreakBefore w:val="false"/>
      <w:widowControl/>
      <w:pBdr/>
      <w:shd w:val="clear" w:fill="auto"/>
      <w:tabs>
        <w:tab w:val="clear" w:pos="720"/>
        <w:tab w:val="center" w:pos="4252" w:leader="none"/>
        <w:tab w:val="right" w:pos="8504" w:leader="none"/>
      </w:tabs>
      <w:spacing w:lineRule="auto" w:line="240" w:before="0" w:after="0"/>
      <w:ind w:hanging="0" w:start="0" w:end="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position w:val="0"/>
        <w:sz w:val="22"/>
        <w:szCs w:val="22"/>
        <w:vertAlign w:val="baseline"/>
      </w:rPr>
    </w:pPr>
    <w:r>
      <w:rPr>
        <w:rFonts w:eastAsia="Arial" w:cs="Arial" w:ascii="Arial" w:hAnsi="Arial"/>
        <w:position w:val="0"/>
        <w:sz w:val="22"/>
        <w:szCs w:val="22"/>
        <w:vertAlign w:val="baseline"/>
      </w:rPr>
    </w:r>
  </w:p>
  <w:tbl>
    <w:tblPr>
      <w:tblStyle w:val="Table6"/>
      <w:tblW w:w="14630" w:type="dxa"/>
      <w:jc w:val="center"/>
      <w:tblInd w:w="0" w:type="dxa"/>
      <w:tblLayout w:type="fixed"/>
      <w:tblCellMar>
        <w:top w:w="0" w:type="dxa"/>
        <w:start w:w="108" w:type="dxa"/>
        <w:bottom w:w="0" w:type="dxa"/>
        <w:end w:w="108" w:type="dxa"/>
      </w:tblCellMar>
      <w:tblLook w:val="0000"/>
    </w:tblPr>
    <w:tblGrid>
      <w:gridCol w:w="2523"/>
      <w:gridCol w:w="9072"/>
      <w:gridCol w:w="3035"/>
    </w:tblGrid>
    <w:tr>
      <w:trPr>
        <w:cantSplit/>
      </w:trPr>
      <w:tc>
        <w:tcPr>
          <w:tcW w:w="2523"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center"/>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drawing>
              <wp:inline distT="0" distB="0" distL="0" distR="0">
                <wp:extent cx="1346835" cy="621665"/>
                <wp:effectExtent l="0" t="0" r="0" b="0"/>
                <wp:docPr id="3" name="image2.png" descr="Sin t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Sin título"/>
                        <pic:cNvPicPr>
                          <a:picLocks noChangeAspect="1" noChangeArrowheads="1"/>
                        </pic:cNvPicPr>
                      </pic:nvPicPr>
                      <pic:blipFill>
                        <a:blip r:embed="rId1"/>
                        <a:stretch>
                          <a:fillRect/>
                        </a:stretch>
                      </pic:blipFill>
                      <pic:spPr bwMode="auto">
                        <a:xfrm>
                          <a:off x="0" y="0"/>
                          <a:ext cx="1346835" cy="621665"/>
                        </a:xfrm>
                        <a:prstGeom prst="rect">
                          <a:avLst/>
                        </a:prstGeom>
                        <a:noFill/>
                      </pic:spPr>
                    </pic:pic>
                  </a:graphicData>
                </a:graphic>
              </wp:inline>
            </w:drawing>
          </w:r>
        </w:p>
      </w:tc>
      <w:tc>
        <w:tcPr>
          <w:tcW w:w="9072" w:type="dxa"/>
          <w:vMerge w:val="restart"/>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center"/>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LABORATORIO DE CALIDAD DEL AIRE</w:t>
          </w:r>
        </w:p>
      </w:tc>
      <w:tc>
        <w:tcPr>
          <w:tcW w:w="303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Código: P-PSEA-01</w:t>
          </w:r>
        </w:p>
      </w:tc>
    </w:tr>
    <w:tr>
      <w:trPr>
        <w:cantSplit/>
      </w:trPr>
      <w:tc>
        <w:tcPr>
          <w:tcW w:w="2523"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Cs w:val="20"/>
              <w:u w:val="none"/>
              <w:shd w:fill="auto" w:val="clear"/>
              <w:vertAlign w:val="baseline"/>
            </w:rPr>
          </w:r>
        </w:p>
      </w:tc>
      <w:tc>
        <w:tcPr>
          <w:tcW w:w="9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Cs w:val="20"/>
              <w:u w:val="none"/>
              <w:shd w:fill="auto" w:val="clear"/>
              <w:vertAlign w:val="baseline"/>
            </w:rPr>
          </w:r>
        </w:p>
      </w:tc>
      <w:tc>
        <w:tcPr>
          <w:tcW w:w="3035"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Versión: 01</w:t>
          </w:r>
        </w:p>
      </w:tc>
    </w:tr>
    <w:tr>
      <w:trPr>
        <w:cantSplit/>
      </w:trPr>
      <w:tc>
        <w:tcPr>
          <w:tcW w:w="2523" w:type="dxa"/>
          <w:vMerge w:val="continue"/>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Cs w:val="20"/>
              <w:u w:val="none"/>
              <w:shd w:fill="auto" w:val="clear"/>
              <w:vertAlign w:val="baseline"/>
            </w:rPr>
          </w:r>
        </w:p>
      </w:tc>
      <w:tc>
        <w:tcPr>
          <w:tcW w:w="9072"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tabs>
              <w:tab w:val="clear" w:pos="720"/>
              <w:tab w:val="center" w:pos="4252" w:leader="none"/>
              <w:tab w:val="right" w:pos="8504" w:leader="none"/>
            </w:tabs>
            <w:spacing w:lineRule="auto" w:line="240" w:before="120" w:after="120"/>
            <w:ind w:hanging="0" w:start="0" w:end="0"/>
            <w:jc w:val="center"/>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sz w:val="20"/>
              <w:szCs w:val="20"/>
            </w:rPr>
            <w:t xml:space="preserve">PROTOCOLO </w:t>
          </w: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GE</w:t>
          </w:r>
          <w:r>
            <w:rPr>
              <w:rFonts w:eastAsia="Arial" w:cs="Arial" w:ascii="Arial" w:hAnsi="Arial"/>
              <w:b/>
              <w:sz w:val="20"/>
              <w:szCs w:val="20"/>
            </w:rPr>
            <w:t xml:space="preserve">NERAL DE ENSAYO DE APTITUD </w:t>
            <w:br/>
            <w:t>PARA GASES CONTAMINANTES CRITERIO</w:t>
          </w:r>
        </w:p>
      </w:tc>
      <w:tc>
        <w:tcPr>
          <w:tcW w:w="3035" w:type="dxa"/>
          <w:tcBorders>
            <w:top w:val="single" w:sz="4" w:space="0" w:color="000000"/>
            <w:start w:val="single" w:sz="4" w:space="0" w:color="000000"/>
            <w:bottom w:val="single" w:sz="4" w:space="0" w:color="000000"/>
            <w:end w:val="single" w:sz="4" w:space="0" w:color="000000"/>
          </w:tcBorders>
          <w:vAlign w:val="center"/>
        </w:tcPr>
        <w:p>
          <w:pPr>
            <w:pStyle w:val="normal1"/>
            <w:keepNext w:val="false"/>
            <w:keepLines w:val="false"/>
            <w:widowControl/>
            <w:pBdr/>
            <w:shd w:val="clear" w:fill="auto"/>
            <w:tabs>
              <w:tab w:val="clear" w:pos="720"/>
              <w:tab w:val="center" w:pos="4252" w:leader="none"/>
              <w:tab w:val="right" w:pos="8504" w:leader="none"/>
            </w:tabs>
            <w:spacing w:lineRule="auto" w:line="240" w:before="0" w:after="0"/>
            <w:ind w:hanging="0" w:start="0" w:end="0"/>
            <w:jc w:val="start"/>
            <w:rPr>
              <w:rFonts w:ascii="Arial" w:hAnsi="Arial" w:eastAsia="Arial" w:cs="Arial"/>
              <w:b w:val="false"/>
              <w:i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 xml:space="preserve">Página </w:t>
          </w:r>
          <w:r>
            <w:rPr/>
            <w:fldChar w:fldCharType="begin"/>
          </w:r>
          <w:r>
            <w:rPr/>
            <w:instrText xml:space="preserve"> PAGE </w:instrText>
          </w:r>
          <w:r>
            <w:rPr/>
            <w:fldChar w:fldCharType="separate"/>
          </w:r>
          <w:r>
            <w:rPr/>
            <w:t>13</w:t>
          </w:r>
          <w:r>
            <w:rPr/>
            <w:fldChar w:fldCharType="end"/>
          </w:r>
          <w:r>
            <w:rPr>
              <w:rFonts w:eastAsia="Arial" w:cs="Arial" w:ascii="Arial" w:hAnsi="Arial"/>
              <w:b/>
              <w:i w:val="false"/>
              <w:caps w:val="false"/>
              <w:smallCaps w:val="false"/>
              <w:strike w:val="false"/>
              <w:dstrike w:val="false"/>
              <w:color w:val="000000"/>
              <w:position w:val="0"/>
              <w:sz w:val="20"/>
              <w:szCs w:val="20"/>
              <w:u w:val="none"/>
              <w:shd w:fill="auto" w:val="clear"/>
              <w:vertAlign w:val="baseline"/>
            </w:rPr>
            <w:t xml:space="preserve"> de </w:t>
          </w:r>
          <w:r>
            <w:rPr/>
            <w:fldChar w:fldCharType="begin"/>
          </w:r>
          <w:r>
            <w:rPr/>
            <w:instrText xml:space="preserve"> NUMPAGES </w:instrText>
          </w:r>
          <w:r>
            <w:rPr/>
            <w:fldChar w:fldCharType="separate"/>
          </w:r>
          <w:r>
            <w:rPr/>
            <w:t>13</w:t>
          </w:r>
          <w:r>
            <w:rPr/>
            <w:fldChar w:fldCharType="end"/>
          </w:r>
        </w:p>
      </w:tc>
    </w:tr>
  </w:tbl>
  <w:p>
    <w:pPr>
      <w:pStyle w:val="normal1"/>
      <w:keepNext w:val="false"/>
      <w:keepLines w:val="false"/>
      <w:pageBreakBefore w:val="false"/>
      <w:widowControl/>
      <w:pBdr/>
      <w:shd w:val="clear" w:fill="auto"/>
      <w:tabs>
        <w:tab w:val="clear" w:pos="720"/>
        <w:tab w:val="center" w:pos="4252" w:leader="none"/>
        <w:tab w:val="right" w:pos="8504" w:leader="none"/>
      </w:tabs>
      <w:spacing w:lineRule="auto" w:line="240" w:before="0" w:after="0"/>
      <w:ind w:hanging="0" w:start="0" w:end="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65" w:hanging="360"/>
      </w:pPr>
      <w:rPr>
        <w:rFonts w:ascii="Wingdings" w:hAnsi="Wingdings" w:cs="Wingdings" w:hint="default"/>
        <w:u w:val="none"/>
      </w:rPr>
    </w:lvl>
    <w:lvl w:ilvl="1">
      <w:start w:val="1"/>
      <w:numFmt w:val="bullet"/>
      <w:lvlText w:val="‐"/>
      <w:lvlJc w:val="start"/>
      <w:pPr>
        <w:tabs>
          <w:tab w:val="num" w:pos="0"/>
        </w:tabs>
        <w:ind w:start="87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decimal"/>
      <w:lvlText w:val="%1."/>
      <w:lvlJc w:val="start"/>
      <w:pPr>
        <w:tabs>
          <w:tab w:val="num" w:pos="0"/>
        </w:tabs>
        <w:ind w:start="720" w:hanging="360"/>
      </w:pPr>
      <w:rPr>
        <w:rFonts w:ascii="Arial" w:hAnsi="Arial" w:eastAsia="Arial" w:cs="Arial"/>
        <w:b/>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3">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decimal"/>
      <w:lvlText w:val="%1."/>
      <w:lvlJc w:val="start"/>
      <w:pPr>
        <w:tabs>
          <w:tab w:val="num" w:pos="0"/>
        </w:tabs>
        <w:ind w:start="360" w:hanging="360"/>
      </w:pPr>
      <w:rPr>
        <w:b/>
        <w:i w:val="false"/>
        <w:position w:val="0"/>
        <w:sz w:val="24"/>
        <w:vertAlign w:val="baseline"/>
      </w:rPr>
    </w:lvl>
    <w:lvl w:ilvl="1">
      <w:start w:val="2"/>
      <w:numFmt w:val="decimal"/>
      <w:lvlText w:val="%1.%2."/>
      <w:lvlJc w:val="start"/>
      <w:pPr>
        <w:tabs>
          <w:tab w:val="num" w:pos="0"/>
        </w:tabs>
        <w:ind w:start="792" w:hanging="432"/>
      </w:pPr>
      <w:rPr>
        <w:b/>
        <w:position w:val="0"/>
        <w:sz w:val="24"/>
        <w:vertAlign w:val="baseline"/>
      </w:rPr>
    </w:lvl>
    <w:lvl w:ilvl="2">
      <w:start w:val="1"/>
      <w:numFmt w:val="decimal"/>
      <w:lvlText w:val="%1.%2.%3."/>
      <w:lvlJc w:val="start"/>
      <w:pPr>
        <w:tabs>
          <w:tab w:val="num" w:pos="0"/>
        </w:tabs>
        <w:ind w:start="1224" w:hanging="504"/>
      </w:pPr>
      <w:rPr>
        <w:b/>
        <w:position w:val="0"/>
        <w:sz w:val="24"/>
        <w:vertAlign w:val="baseline"/>
      </w:rPr>
    </w:lvl>
    <w:lvl w:ilvl="3">
      <w:start w:val="1"/>
      <w:numFmt w:val="decimal"/>
      <w:lvlText w:val="%1.%2.%3.%4."/>
      <w:lvlJc w:val="start"/>
      <w:pPr>
        <w:tabs>
          <w:tab w:val="num" w:pos="0"/>
        </w:tabs>
        <w:ind w:start="1728" w:hanging="648"/>
      </w:pPr>
      <w:rPr>
        <w:position w:val="0"/>
        <w:sz w:val="24"/>
        <w:vertAlign w:val="baseline"/>
      </w:rPr>
    </w:lvl>
    <w:lvl w:ilvl="4">
      <w:start w:val="1"/>
      <w:numFmt w:val="decimal"/>
      <w:lvlText w:val="%1.%2.%3.%4.%5."/>
      <w:lvlJc w:val="start"/>
      <w:pPr>
        <w:tabs>
          <w:tab w:val="num" w:pos="0"/>
        </w:tabs>
        <w:ind w:start="2232" w:hanging="792"/>
      </w:pPr>
      <w:rPr>
        <w:position w:val="0"/>
        <w:sz w:val="24"/>
        <w:vertAlign w:val="baseline"/>
      </w:rPr>
    </w:lvl>
    <w:lvl w:ilvl="5">
      <w:start w:val="1"/>
      <w:numFmt w:val="decimal"/>
      <w:lvlText w:val="%1.%2.%3.%4.%5.%6."/>
      <w:lvlJc w:val="start"/>
      <w:pPr>
        <w:tabs>
          <w:tab w:val="num" w:pos="0"/>
        </w:tabs>
        <w:ind w:start="2736" w:hanging="936"/>
      </w:pPr>
      <w:rPr>
        <w:position w:val="0"/>
        <w:sz w:val="24"/>
        <w:vertAlign w:val="baseline"/>
      </w:rPr>
    </w:lvl>
    <w:lvl w:ilvl="6">
      <w:start w:val="1"/>
      <w:numFmt w:val="decimal"/>
      <w:lvlText w:val="%1.%2.%3.%4.%5.%6.%7."/>
      <w:lvlJc w:val="start"/>
      <w:pPr>
        <w:tabs>
          <w:tab w:val="num" w:pos="0"/>
        </w:tabs>
        <w:ind w:start="3240" w:hanging="1080"/>
      </w:pPr>
      <w:rPr>
        <w:position w:val="0"/>
        <w:sz w:val="24"/>
        <w:vertAlign w:val="baseline"/>
      </w:rPr>
    </w:lvl>
    <w:lvl w:ilvl="7">
      <w:start w:val="1"/>
      <w:numFmt w:val="decimal"/>
      <w:lvlText w:val="%1.%2.%3.%4.%5.%6.%7.%8."/>
      <w:lvlJc w:val="start"/>
      <w:pPr>
        <w:tabs>
          <w:tab w:val="num" w:pos="0"/>
        </w:tabs>
        <w:ind w:start="3744" w:hanging="1224"/>
      </w:pPr>
      <w:rPr>
        <w:position w:val="0"/>
        <w:sz w:val="24"/>
        <w:vertAlign w:val="baseline"/>
      </w:rPr>
    </w:lvl>
    <w:lvl w:ilvl="8">
      <w:start w:val="1"/>
      <w:numFmt w:val="decimal"/>
      <w:lvlText w:val="%1.%2.%3.%4.%5.%6.%7.%8.%9."/>
      <w:lvlJc w:val="start"/>
      <w:pPr>
        <w:tabs>
          <w:tab w:val="num" w:pos="0"/>
        </w:tabs>
        <w:ind w:start="4320" w:hanging="1440"/>
      </w:pPr>
      <w:rPr>
        <w:position w:val="0"/>
        <w:sz w:val="24"/>
        <w:vertAlign w:val="baseline"/>
      </w:rPr>
    </w:lvl>
  </w:abstractNum>
  <w:abstractNum w:abstractNumId="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
    <w:lvl w:ilvl="0">
      <w:start w:val="1"/>
      <w:numFmt w:val="bullet"/>
      <w:lvlText w:val=""/>
      <w:lvlJc w:val="start"/>
      <w:pPr>
        <w:tabs>
          <w:tab w:val="num" w:pos="0"/>
        </w:tabs>
        <w:ind w:start="465" w:hanging="360"/>
      </w:pPr>
      <w:rPr>
        <w:rFonts w:ascii="Wingdings" w:hAnsi="Wingdings" w:cs="Wingdings" w:hint="default"/>
        <w:u w:val="none"/>
      </w:rPr>
    </w:lvl>
    <w:lvl w:ilvl="1">
      <w:start w:val="1"/>
      <w:numFmt w:val="bullet"/>
      <w:lvlText w:val="‐"/>
      <w:lvlJc w:val="start"/>
      <w:pPr>
        <w:tabs>
          <w:tab w:val="num" w:pos="0"/>
        </w:tabs>
        <w:ind w:start="87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2"/>
      <w:numFmt w:val="decimal"/>
      <w:lvlText w:val="%1."/>
      <w:lvlJc w:val="end"/>
      <w:pPr>
        <w:tabs>
          <w:tab w:val="num" w:pos="0"/>
        </w:tabs>
        <w:ind w:start="720" w:hanging="360"/>
      </w:pPr>
      <w:rPr>
        <w:u w:val="none"/>
      </w:rPr>
    </w:lvl>
    <w:lvl w:ilvl="1">
      <w:start w:val="1"/>
      <w:numFmt w:val="decimal"/>
      <w:lvlText w:val="%1.%2."/>
      <w:lvlJc w:val="end"/>
      <w:pPr>
        <w:tabs>
          <w:tab w:val="num" w:pos="0"/>
        </w:tabs>
        <w:ind w:start="1440" w:hanging="360"/>
      </w:pPr>
      <w:rPr>
        <w:sz w:val="22"/>
        <w:szCs w:val="22"/>
        <w:u w:val="none"/>
      </w:rPr>
    </w:lvl>
    <w:lvl w:ilvl="2">
      <w:start w:val="1"/>
      <w:numFmt w:val="decimal"/>
      <w:lvlText w:val="%1.%2.%3."/>
      <w:lvlJc w:val="end"/>
      <w:pPr>
        <w:tabs>
          <w:tab w:val="num" w:pos="0"/>
        </w:tabs>
        <w:ind w:start="2160" w:hanging="360"/>
      </w:pPr>
      <w:rPr>
        <w:sz w:val="22"/>
        <w:szCs w:val="22"/>
        <w:u w:val="none"/>
      </w:rPr>
    </w:lvl>
    <w:lvl w:ilvl="3">
      <w:start w:val="1"/>
      <w:numFmt w:val="decimal"/>
      <w:lvlText w:val="%1.%2.%3.%4."/>
      <w:lvlJc w:val="end"/>
      <w:pPr>
        <w:tabs>
          <w:tab w:val="num" w:pos="0"/>
        </w:tabs>
        <w:ind w:start="2880" w:hanging="360"/>
      </w:pPr>
      <w:rPr>
        <w:u w:val="none"/>
      </w:rPr>
    </w:lvl>
    <w:lvl w:ilvl="4">
      <w:start w:val="1"/>
      <w:numFmt w:val="decimal"/>
      <w:lvlText w:val="%1.%2.%3.%4.%5."/>
      <w:lvlJc w:val="end"/>
      <w:pPr>
        <w:tabs>
          <w:tab w:val="num" w:pos="0"/>
        </w:tabs>
        <w:ind w:start="3600" w:hanging="360"/>
      </w:pPr>
      <w:rPr>
        <w:u w:val="none"/>
      </w:rPr>
    </w:lvl>
    <w:lvl w:ilvl="5">
      <w:start w:val="1"/>
      <w:numFmt w:val="decimal"/>
      <w:lvlText w:val="%1.%2.%3.%4.%5.%6."/>
      <w:lvlJc w:val="end"/>
      <w:pPr>
        <w:tabs>
          <w:tab w:val="num" w:pos="0"/>
        </w:tabs>
        <w:ind w:start="4320" w:hanging="360"/>
      </w:pPr>
      <w:rPr>
        <w:u w:val="none"/>
      </w:rPr>
    </w:lvl>
    <w:lvl w:ilvl="6">
      <w:start w:val="1"/>
      <w:numFmt w:val="decimal"/>
      <w:lvlText w:val="%1.%2.%3.%4.%5.%6.%7."/>
      <w:lvlJc w:val="end"/>
      <w:pPr>
        <w:tabs>
          <w:tab w:val="num" w:pos="0"/>
        </w:tabs>
        <w:ind w:start="5040" w:hanging="360"/>
      </w:pPr>
      <w:rPr>
        <w:u w:val="none"/>
      </w:rPr>
    </w:lvl>
    <w:lvl w:ilvl="7">
      <w:start w:val="1"/>
      <w:numFmt w:val="decimal"/>
      <w:lvlText w:val="%1.%2.%3.%4.%5.%6.%7.%8."/>
      <w:lvlJc w:val="end"/>
      <w:pPr>
        <w:tabs>
          <w:tab w:val="num" w:pos="0"/>
        </w:tabs>
        <w:ind w:start="5760" w:hanging="360"/>
      </w:pPr>
      <w:rPr>
        <w:u w:val="none"/>
      </w:rPr>
    </w:lvl>
    <w:lvl w:ilvl="8">
      <w:start w:val="1"/>
      <w:numFmt w:val="decimal"/>
      <w:lvlText w:val="%1.%2.%3.%4.%5.%6.%7.%8.%9."/>
      <w:lvlJc w:val="end"/>
      <w:pPr>
        <w:tabs>
          <w:tab w:val="num" w:pos="0"/>
        </w:tabs>
        <w:ind w:start="6480" w:hanging="360"/>
      </w:pPr>
      <w:rPr>
        <w:u w:val="none"/>
      </w:rPr>
    </w:lvl>
  </w:abstractNum>
  <w:abstractNum w:abstractNumId="8">
    <w:lvl w:ilvl="0">
      <w:start w:val="1"/>
      <w:numFmt w:val="bullet"/>
      <w:lvlText w:val=""/>
      <w:lvlJc w:val="start"/>
      <w:pPr>
        <w:tabs>
          <w:tab w:val="num" w:pos="0"/>
        </w:tabs>
        <w:ind w:start="465" w:hanging="360"/>
      </w:pPr>
      <w:rPr>
        <w:rFonts w:ascii="Wingdings" w:hAnsi="Wingdings" w:cs="Wingdings" w:hint="default"/>
        <w:u w:val="none"/>
      </w:rPr>
    </w:lvl>
    <w:lvl w:ilvl="1">
      <w:start w:val="1"/>
      <w:numFmt w:val="bullet"/>
      <w:lvlText w:val="‐"/>
      <w:lvlJc w:val="start"/>
      <w:pPr>
        <w:tabs>
          <w:tab w:val="num" w:pos="0"/>
        </w:tabs>
        <w:ind w:start="87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465" w:hanging="360"/>
      </w:pPr>
      <w:rPr>
        <w:rFonts w:ascii="OpenSymbol" w:hAnsi="OpenSymbol" w:cs="OpenSymbol" w:hint="default"/>
        <w:u w:val="none"/>
      </w:rPr>
    </w:lvl>
    <w:lvl w:ilvl="1">
      <w:start w:val="1"/>
      <w:numFmt w:val="bullet"/>
      <w:lvlText w:val="‐"/>
      <w:lvlJc w:val="start"/>
      <w:pPr>
        <w:tabs>
          <w:tab w:val="num" w:pos="0"/>
        </w:tabs>
        <w:ind w:start="87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iberation Sans"/>
        <w:sz w:val="24"/>
        <w:szCs w:val="24"/>
        <w:lang w:val="es-E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Liberation Sans"/>
      <w:color w:val="auto"/>
      <w:kern w:val="0"/>
      <w:sz w:val="24"/>
      <w:szCs w:val="24"/>
      <w:lang w:val="es-E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Fuentedeprrafopredeter">
    <w:name w:val="Fuente de párrafo predeter."/>
    <w:qFormat/>
    <w:rPr>
      <w:w w:val="100"/>
      <w:position w:val="0"/>
      <w:sz w:val="24"/>
      <w:effect w:val="none"/>
      <w:vertAlign w:val="baseline"/>
      <w:em w:val="none"/>
    </w:rPr>
  </w:style>
  <w:style w:type="character" w:styleId="Refdecomentario">
    <w:name w:val="Ref. de comentario"/>
    <w:qFormat/>
    <w:rPr>
      <w:w w:val="100"/>
      <w:position w:val="0"/>
      <w:sz w:val="16"/>
      <w:szCs w:val="16"/>
      <w:effect w:val="none"/>
      <w:vertAlign w:val="baseline"/>
      <w:em w:val="none"/>
    </w:rPr>
  </w:style>
  <w:style w:type="character" w:styleId="estilo101">
    <w:name w:val="estilo101"/>
    <w:qFormat/>
    <w:rPr>
      <w:rFonts w:ascii="Georgia" w:hAnsi="Georgia"/>
      <w:w w:val="100"/>
      <w:position w:val="0"/>
      <w:sz w:val="24"/>
      <w:effect w:val="none"/>
      <w:vertAlign w:val="baseline"/>
      <w:em w:val="none"/>
    </w:rPr>
  </w:style>
  <w:style w:type="character" w:styleId="TextoindependienteCar">
    <w:name w:val="Texto independiente Car"/>
    <w:qFormat/>
    <w:rPr>
      <w:w w:val="100"/>
      <w:position w:val="0"/>
      <w:sz w:val="24"/>
      <w:szCs w:val="24"/>
      <w:effect w:val="none"/>
      <w:vertAlign w:val="baseline"/>
      <w:em w:val="none"/>
      <w:lang w:val="es-MX"/>
    </w:rPr>
  </w:style>
  <w:style w:type="character" w:styleId="eacep1">
    <w:name w:val="eacep1"/>
    <w:qFormat/>
    <w:rPr>
      <w:color w:val="000000"/>
      <w:w w:val="100"/>
      <w:position w:val="0"/>
      <w:sz w:val="24"/>
      <w:effect w:val="none"/>
      <w:vertAlign w:val="baseline"/>
      <w:em w:val="none"/>
    </w:rPr>
  </w:style>
  <w:style w:type="character" w:styleId="Sangra3detindependienteCar">
    <w:name w:val="Sangría 3 de t. independiente Car"/>
    <w:qFormat/>
    <w:rPr>
      <w:w w:val="100"/>
      <w:position w:val="0"/>
      <w:sz w:val="16"/>
      <w:szCs w:val="16"/>
      <w:effect w:val="none"/>
      <w:vertAlign w:val="baseline"/>
      <w:em w:val="none"/>
    </w:rPr>
  </w:style>
  <w:style w:type="character" w:styleId="SangradetextonormalCar">
    <w:name w:val="Sangría de texto normal Car"/>
    <w:qFormat/>
    <w:rPr>
      <w:rFonts w:ascii="Arial" w:hAnsi="Arial" w:cs="Arial"/>
      <w:bCs/>
      <w:w w:val="100"/>
      <w:position w:val="0"/>
      <w:sz w:val="22"/>
      <w:szCs w:val="22"/>
      <w:effect w:val="none"/>
      <w:vertAlign w:val="baseline"/>
      <w:em w:val="none"/>
      <w:lang w:val="es-ES" w:eastAsia="es-ES"/>
    </w:rPr>
  </w:style>
  <w:style w:type="character" w:styleId="Hipervnculo">
    <w:name w:val="Hipervínculo"/>
    <w:qFormat/>
    <w:rPr>
      <w:color w:val="0563C1"/>
      <w:w w:val="100"/>
      <w:position w:val="0"/>
      <w:sz w:val="24"/>
      <w:u w:val="single"/>
      <w:effect w:val="none"/>
      <w:vertAlign w:val="baseline"/>
      <w:em w:val="none"/>
    </w:rPr>
  </w:style>
  <w:style w:type="character" w:styleId="Mencinsinresolver">
    <w:name w:val="Mención sin resolver"/>
    <w:qFormat/>
    <w:rPr>
      <w:color w:val="605E5C"/>
      <w:w w:val="100"/>
      <w:position w:val="0"/>
      <w:sz w:val="24"/>
      <w:effect w:val="none"/>
      <w:shd w:fill="E1DFDD" w:val="clear"/>
      <w:vertAlign w:val="baseline"/>
      <w:em w:val="none"/>
    </w:rPr>
  </w:style>
  <w:style w:type="character" w:styleId="nfasis">
    <w:name w:val="Énfasis"/>
    <w:qFormat/>
    <w:rPr>
      <w:i/>
      <w:iCs/>
      <w:w w:val="100"/>
      <w:position w:val="0"/>
      <w:sz w:val="24"/>
      <w:effect w:val="none"/>
      <w:vertAlign w:val="baseline"/>
      <w:em w:val="none"/>
    </w:rPr>
  </w:style>
  <w:style w:type="character" w:styleId="Ttulo2Car">
    <w:name w:val="Título 2 Car"/>
    <w:qFormat/>
    <w:rPr>
      <w:rFonts w:ascii="Aptos Display" w:hAnsi="Aptos Display" w:eastAsia="Times New Roman" w:cs="Times New Roman"/>
      <w:b/>
      <w:bCs/>
      <w:i/>
      <w:iCs/>
      <w:w w:val="100"/>
      <w:position w:val="0"/>
      <w:sz w:val="28"/>
      <w:szCs w:val="28"/>
      <w:effect w:val="none"/>
      <w:vertAlign w:val="baseline"/>
      <w:em w:val="none"/>
      <w:lang w:val="es-ES" w:eastAsia="es-ES"/>
    </w:rPr>
  </w:style>
  <w:style w:type="character" w:styleId="Ttulo3Car">
    <w:name w:val="Título 3 Car"/>
    <w:qFormat/>
    <w:rPr>
      <w:rFonts w:ascii="Calibri Light" w:hAnsi="Calibri Light" w:eastAsia="Times New Roman" w:cs="Times New Roman"/>
      <w:b/>
      <w:bCs/>
      <w:w w:val="100"/>
      <w:position w:val="0"/>
      <w:sz w:val="26"/>
      <w:szCs w:val="26"/>
      <w:effect w:val="none"/>
      <w:vertAlign w:val="baseline"/>
      <w:em w:val="none"/>
      <w:lang w:val="es-ES" w:eastAsia="es-ES"/>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normal1" w:default="1">
    <w:name w:val="normal1"/>
    <w:qFormat/>
    <w:pPr>
      <w:widowControl/>
      <w:bidi w:val="0"/>
      <w:spacing w:before="0" w:after="0"/>
      <w:jc w:val="start"/>
    </w:pPr>
    <w:rPr>
      <w:rFonts w:ascii="Times New Roman" w:hAnsi="Times New Roman" w:eastAsia="Noto Serif CJK SC" w:cs="Liberation Sans"/>
      <w:color w:val="auto"/>
      <w:kern w:val="0"/>
      <w:sz w:val="24"/>
      <w:szCs w:val="24"/>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Ttulo1">
    <w:name w:val="Título 1"/>
    <w:basedOn w:val="normal1"/>
    <w:next w:val="normal1"/>
    <w:qFormat/>
    <w:pPr>
      <w:keepNext w:val="true"/>
      <w:suppressAutoHyphens w:val="true"/>
      <w:spacing w:lineRule="atLeast" w:line="1" w:before="240" w:after="60"/>
      <w:ind w:hangingChars="1" w:startChars="-1" w:end="0"/>
      <w:textAlignment w:val="top"/>
      <w:outlineLvl w:val="0"/>
    </w:pPr>
    <w:rPr>
      <w:rFonts w:ascii="Arial" w:hAnsi="Arial" w:cs="Arial"/>
      <w:b/>
      <w:bCs/>
      <w:w w:val="100"/>
      <w:kern w:val="2"/>
      <w:position w:val="-1"/>
      <w:sz w:val="32"/>
      <w:szCs w:val="32"/>
      <w:effect w:val="none"/>
      <w:em w:val="none"/>
      <w:lang w:val="es-ES" w:eastAsia="es-ES" w:bidi="ar-SA"/>
    </w:rPr>
  </w:style>
  <w:style w:type="paragraph" w:styleId="Ttulo2">
    <w:name w:val="Título 2"/>
    <w:basedOn w:val="normal1"/>
    <w:next w:val="normal1"/>
    <w:qFormat/>
    <w:pPr>
      <w:keepNext w:val="true"/>
      <w:suppressAutoHyphens w:val="true"/>
      <w:spacing w:lineRule="atLeast" w:line="1" w:before="240" w:after="60"/>
      <w:ind w:hangingChars="1" w:startChars="-1" w:end="0"/>
      <w:textAlignment w:val="top"/>
      <w:outlineLvl w:val="1"/>
    </w:pPr>
    <w:rPr>
      <w:rFonts w:ascii="Aptos Display" w:hAnsi="Aptos Display" w:eastAsia="Times New Roman" w:cs="Times New Roman"/>
      <w:b/>
      <w:bCs/>
      <w:i/>
      <w:iCs/>
      <w:w w:val="100"/>
      <w:position w:val="-1"/>
      <w:sz w:val="28"/>
      <w:szCs w:val="28"/>
      <w:effect w:val="none"/>
      <w:em w:val="none"/>
      <w:lang w:val="es-ES" w:eastAsia="es-ES" w:bidi="ar-SA"/>
    </w:rPr>
  </w:style>
  <w:style w:type="paragraph" w:styleId="Ttulo3">
    <w:name w:val="Título 3"/>
    <w:basedOn w:val="normal1"/>
    <w:next w:val="normal1"/>
    <w:qFormat/>
    <w:pPr>
      <w:keepNext w:val="true"/>
      <w:suppressAutoHyphens w:val="true"/>
      <w:spacing w:lineRule="atLeast" w:line="1" w:before="240" w:after="60"/>
      <w:ind w:hangingChars="1" w:startChars="-1" w:end="0"/>
      <w:textAlignment w:val="top"/>
      <w:outlineLvl w:val="2"/>
    </w:pPr>
    <w:rPr>
      <w:rFonts w:ascii="Calibri Light" w:hAnsi="Calibri Light" w:eastAsia="Times New Roman" w:cs="Times New Roman"/>
      <w:b/>
      <w:bCs/>
      <w:w w:val="100"/>
      <w:position w:val="-1"/>
      <w:sz w:val="26"/>
      <w:szCs w:val="26"/>
      <w:effect w:val="none"/>
      <w:em w:val="none"/>
      <w:lang w:val="es-ES" w:eastAsia="es-ES" w:bidi="ar-SA"/>
    </w:rPr>
  </w:style>
  <w:style w:type="paragraph" w:styleId="Encabezado">
    <w:name w:val="Encabezado"/>
    <w:basedOn w:val="normal1"/>
    <w:qFormat/>
    <w:pPr>
      <w:tabs>
        <w:tab w:val="clear" w:pos="720"/>
        <w:tab w:val="center" w:pos="4252" w:leader="none"/>
        <w:tab w:val="right" w:pos="8504" w:leader="none"/>
      </w:tabs>
      <w:suppressAutoHyphens w:val="true"/>
      <w:spacing w:lineRule="atLeast" w:line="1"/>
      <w:ind w:hangingChars="1" w:startChars="-1" w:end="0"/>
      <w:textAlignment w:val="top"/>
      <w:outlineLvl w:val="0"/>
    </w:pPr>
    <w:rPr>
      <w:w w:val="100"/>
      <w:position w:val="-1"/>
      <w:sz w:val="24"/>
      <w:szCs w:val="24"/>
      <w:effect w:val="none"/>
      <w:em w:val="none"/>
      <w:lang w:val="es-ES" w:eastAsia="es-ES" w:bidi="ar-SA"/>
    </w:rPr>
  </w:style>
  <w:style w:type="paragraph" w:styleId="Piedepgina">
    <w:name w:val="Pie de página"/>
    <w:basedOn w:val="normal1"/>
    <w:qFormat/>
    <w:pPr>
      <w:tabs>
        <w:tab w:val="clear" w:pos="720"/>
        <w:tab w:val="center" w:pos="4252" w:leader="none"/>
        <w:tab w:val="right" w:pos="8504" w:leader="none"/>
      </w:tabs>
      <w:suppressAutoHyphens w:val="true"/>
      <w:spacing w:lineRule="atLeast" w:line="1"/>
      <w:ind w:hangingChars="1" w:startChars="-1" w:end="0"/>
      <w:textAlignment w:val="top"/>
      <w:outlineLvl w:val="0"/>
    </w:pPr>
    <w:rPr>
      <w:w w:val="100"/>
      <w:position w:val="-1"/>
      <w:sz w:val="24"/>
      <w:szCs w:val="24"/>
      <w:effect w:val="none"/>
      <w:em w:val="none"/>
      <w:lang w:val="es-ES" w:eastAsia="es-ES" w:bidi="ar-SA"/>
    </w:rPr>
  </w:style>
  <w:style w:type="paragraph" w:styleId="Textodeglobo">
    <w:name w:val="Texto de globo"/>
    <w:basedOn w:val="normal1"/>
    <w:qFormat/>
    <w:pPr>
      <w:suppressAutoHyphens w:val="true"/>
      <w:spacing w:lineRule="atLeast" w:line="1"/>
      <w:ind w:hangingChars="1" w:startChars="-1" w:end="0"/>
      <w:textAlignment w:val="top"/>
      <w:outlineLvl w:val="0"/>
    </w:pPr>
    <w:rPr>
      <w:rFonts w:ascii="Tahoma" w:hAnsi="Tahoma" w:cs="Tahoma"/>
      <w:w w:val="100"/>
      <w:position w:val="-1"/>
      <w:sz w:val="16"/>
      <w:szCs w:val="16"/>
      <w:effect w:val="none"/>
      <w:em w:val="none"/>
      <w:lang w:val="es-ES" w:eastAsia="es-ES" w:bidi="ar-SA"/>
    </w:rPr>
  </w:style>
  <w:style w:type="paragraph" w:styleId="Textocomentario">
    <w:name w:val="Texto comentario"/>
    <w:basedOn w:val="normal1"/>
    <w:qFormat/>
    <w:pPr>
      <w:suppressAutoHyphens w:val="true"/>
      <w:spacing w:lineRule="atLeast" w:line="1"/>
      <w:ind w:hangingChars="1" w:startChars="-1" w:end="0"/>
      <w:textAlignment w:val="top"/>
      <w:outlineLvl w:val="0"/>
    </w:pPr>
    <w:rPr>
      <w:w w:val="100"/>
      <w:position w:val="-1"/>
      <w:sz w:val="20"/>
      <w:szCs w:val="20"/>
      <w:effect w:val="none"/>
      <w:em w:val="none"/>
      <w:lang w:val="es-ES" w:eastAsia="es-ES" w:bidi="ar-SA"/>
    </w:rPr>
  </w:style>
  <w:style w:type="paragraph" w:styleId="Asuntodelcomentario">
    <w:name w:val="Asunto del comentario"/>
    <w:basedOn w:val="Textocomentario"/>
    <w:next w:val="Textocomentario"/>
    <w:qFormat/>
    <w:pPr>
      <w:suppressAutoHyphens w:val="true"/>
      <w:spacing w:lineRule="atLeast" w:line="1"/>
      <w:ind w:hangingChars="1" w:startChars="-1" w:end="0"/>
      <w:textAlignment w:val="top"/>
    </w:pPr>
    <w:rPr>
      <w:b/>
      <w:bCs/>
      <w:w w:val="100"/>
      <w:position w:val="-1"/>
      <w:sz w:val="20"/>
      <w:szCs w:val="20"/>
      <w:effect w:val="none"/>
      <w:em w:val="none"/>
      <w:lang w:val="es-ES" w:eastAsia="es-ES" w:bidi="ar-SA"/>
    </w:rPr>
  </w:style>
  <w:style w:type="paragraph" w:styleId="Textoindependiente">
    <w:name w:val="Texto independiente"/>
    <w:basedOn w:val="normal1"/>
    <w:qFormat/>
    <w:pPr>
      <w:suppressAutoHyphens w:val="true"/>
      <w:spacing w:lineRule="atLeast" w:line="1" w:before="0" w:after="120"/>
      <w:ind w:hangingChars="1" w:startChars="-1" w:end="0"/>
      <w:textAlignment w:val="top"/>
      <w:outlineLvl w:val="0"/>
    </w:pPr>
    <w:rPr>
      <w:w w:val="100"/>
      <w:position w:val="-1"/>
      <w:sz w:val="24"/>
      <w:szCs w:val="24"/>
      <w:effect w:val="none"/>
      <w:em w:val="none"/>
      <w:lang w:val="es-MX" w:eastAsia="und" w:bidi="ar-SA"/>
    </w:rPr>
  </w:style>
  <w:style w:type="paragraph" w:styleId="Sangra3detindependiente">
    <w:name w:val="Sangría 3 de t. independiente"/>
    <w:basedOn w:val="normal1"/>
    <w:qFormat/>
    <w:pPr>
      <w:suppressAutoHyphens w:val="true"/>
      <w:spacing w:lineRule="atLeast" w:line="1" w:before="0" w:after="120"/>
      <w:ind w:hangingChars="1" w:startChars="-1" w:end="0"/>
      <w:textAlignment w:val="top"/>
      <w:outlineLvl w:val="0"/>
    </w:pPr>
    <w:rPr>
      <w:w w:val="100"/>
      <w:position w:val="-1"/>
      <w:sz w:val="16"/>
      <w:szCs w:val="16"/>
      <w:effect w:val="none"/>
      <w:em w:val="none"/>
      <w:lang w:val="und" w:eastAsia="und" w:bidi="ar-SA"/>
    </w:rPr>
  </w:style>
  <w:style w:type="paragraph" w:styleId="Default">
    <w:name w:val="Default"/>
    <w:qFormat/>
    <w:pPr>
      <w:widowControl/>
      <w:suppressAutoHyphens w:val="true"/>
      <w:bidi w:val="0"/>
      <w:spacing w:lineRule="atLeast" w:line="1" w:before="0" w:after="0"/>
      <w:ind w:hangingChars="1" w:startChars="-1" w:end="0"/>
      <w:jc w:val="start"/>
      <w:textAlignment w:val="top"/>
      <w:outlineLvl w:val="0"/>
    </w:pPr>
    <w:rPr>
      <w:rFonts w:ascii="Arial" w:hAnsi="Arial" w:cs="Arial" w:eastAsia="Noto Serif CJK SC"/>
      <w:color w:val="000000"/>
      <w:w w:val="100"/>
      <w:kern w:val="0"/>
      <w:position w:val="-1"/>
      <w:sz w:val="24"/>
      <w:szCs w:val="24"/>
      <w:effect w:val="none"/>
      <w:em w:val="none"/>
      <w:lang w:val="es-ES" w:eastAsia="es-ES" w:bidi="ar-SA"/>
    </w:rPr>
  </w:style>
  <w:style w:type="paragraph" w:styleId="Cuadrculaclara-nfasis3">
    <w:name w:val="Cuadrícula clara - Énfasis 3"/>
    <w:basedOn w:val="normal1"/>
    <w:qFormat/>
    <w:pPr>
      <w:suppressAutoHyphens w:val="true"/>
      <w:spacing w:lineRule="atLeast" w:line="1"/>
      <w:ind w:hangingChars="1" w:startChars="-1" w:end="0"/>
      <w:textAlignment w:val="top"/>
      <w:outlineLvl w:val="0"/>
    </w:pPr>
    <w:rPr>
      <w:w w:val="100"/>
      <w:position w:val="-1"/>
      <w:sz w:val="24"/>
      <w:szCs w:val="24"/>
      <w:effect w:val="none"/>
      <w:em w:val="none"/>
      <w:lang w:val="es-ES" w:eastAsia="es-ES" w:bidi="ar-SA"/>
    </w:rPr>
  </w:style>
  <w:style w:type="paragraph" w:styleId="Sangradetextonormal">
    <w:name w:val="Sangría de texto normal"/>
    <w:basedOn w:val="normal1"/>
    <w:qFormat/>
    <w:pPr>
      <w:suppressAutoHyphens w:val="true"/>
      <w:spacing w:lineRule="atLeast" w:line="1" w:before="120" w:after="120"/>
      <w:ind w:hangingChars="1" w:startChars="-1" w:end="0"/>
      <w:jc w:val="both"/>
      <w:textAlignment w:val="top"/>
      <w:outlineLvl w:val="0"/>
    </w:pPr>
    <w:rPr>
      <w:rFonts w:ascii="Arial" w:hAnsi="Arial"/>
      <w:bCs/>
      <w:w w:val="100"/>
      <w:position w:val="-1"/>
      <w:sz w:val="22"/>
      <w:szCs w:val="22"/>
      <w:effect w:val="none"/>
      <w:em w:val="none"/>
      <w:lang w:val="es-ES" w:eastAsia="es-ES" w:bidi="ar-SA"/>
    </w:rPr>
  </w:style>
  <w:style w:type="paragraph" w:styleId="Prrafodelista">
    <w:name w:val="Párrafo de lista"/>
    <w:basedOn w:val="normal1"/>
    <w:qFormat/>
    <w:pPr>
      <w:suppressAutoHyphens w:val="true"/>
      <w:spacing w:lineRule="atLeast" w:line="1"/>
      <w:ind w:hangingChars="1" w:startChars="-1" w:end="0"/>
      <w:textAlignment w:val="top"/>
      <w:outlineLvl w:val="0"/>
    </w:pPr>
    <w:rPr>
      <w:w w:val="100"/>
      <w:position w:val="-1"/>
      <w:sz w:val="24"/>
      <w:szCs w:val="24"/>
      <w:effect w:val="none"/>
      <w:em w:val="none"/>
      <w:lang w:val="es-ES" w:eastAsia="es-ES" w:bidi="ar-SA"/>
    </w:rPr>
  </w:style>
  <w:style w:type="paragraph" w:styleId="Revisin">
    <w:name w:val="Revisión"/>
    <w:qFormat/>
    <w:pPr>
      <w:widowControl/>
      <w:suppressAutoHyphens w:val="true"/>
      <w:bidi w:val="0"/>
      <w:spacing w:lineRule="atLeast" w:line="1" w:before="0" w:after="0"/>
      <w:ind w:hangingChars="1" w:startChars="-1" w:end="0"/>
      <w:jc w:val="start"/>
      <w:textAlignment w:val="top"/>
      <w:outlineLvl w:val="0"/>
    </w:pPr>
    <w:rPr>
      <w:rFonts w:ascii="Times New Roman" w:hAnsi="Times New Roman" w:eastAsia="Noto Serif CJK SC" w:cs="Liberation Sans"/>
      <w:color w:val="auto"/>
      <w:w w:val="100"/>
      <w:kern w:val="0"/>
      <w:position w:val="-1"/>
      <w:sz w:val="24"/>
      <w:szCs w:val="24"/>
      <w:effect w:val="none"/>
      <w:em w:val="none"/>
      <w:lang w:val="es-ES" w:eastAsia="es-ES" w:bidi="ar-SA"/>
    </w:rPr>
  </w:style>
  <w:style w:type="paragraph" w:styleId="NormalWeb">
    <w:name w:val="Normal (Web)"/>
    <w:basedOn w:val="normal1"/>
    <w:qFormat/>
    <w:pPr>
      <w:suppressAutoHyphens w:val="true"/>
      <w:spacing w:lineRule="atLeast" w:line="1"/>
      <w:ind w:hangingChars="1" w:startChars="-1" w:end="0"/>
      <w:textAlignment w:val="top"/>
      <w:outlineLvl w:val="0"/>
    </w:pPr>
    <w:rPr>
      <w:w w:val="100"/>
      <w:position w:val="-1"/>
      <w:sz w:val="24"/>
      <w:szCs w:val="24"/>
      <w:effect w:val="none"/>
      <w:em w:val="none"/>
      <w:lang w:val="es-ES" w:eastAsia="es-ES" w:bidi="ar-SA"/>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numbering" w:styleId="Sinlista">
    <w:name w:val="Sin lista"/>
    <w:qFormat/>
  </w:style>
  <w:style w:type="table" w:default="1" w:styleId="TableNormal">
    <w:name w:val="TableNormal"/>
    <w:tblPr>
      <w:tblCellMar>
        <w:top w:w="100" w:type="dxa"/>
        <w:left w:w="100" w:type="dxa"/>
        <w:bottom w:w="100" w:type="dxa"/>
        <w:right w:w="100" w:type="dxa"/>
      </w:tblCellMar>
    </w:tblPr>
  </w:style>
  <w:style w:type="table" w:styleId="Tablanormal">
    <w:name w:val="Tabla normal"/>
    <w:qFormat/>
    <w:pPr>
      <w:spacing w:line="1" w:lineRule="atLeast"/>
      <w:ind w:rightChars="0"/>
    </w:pPr>
    <w:rPr/>
    <w:tblPr>
      <w:tblCellMar>
        <w:top w:w="0" w:type="dxa"/>
        <w:left w:w="108" w:type="dxa"/>
        <w:bottom w:w="0" w:type="dxa"/>
        <w:right w:w="108" w:type="dxa"/>
      </w:tblCellMar>
    </w:tblPr>
  </w:style>
  <w:style w:type="table" w:styleId="Tablaconcuadrícula">
    <w:name w:val="Tabla con cuadrícula"/>
    <w:basedOn w:val="Tablanormal"/>
    <w:qFormat/>
    <w:pPr>
      <w:spacing w:line="1" w:lineRule="atLeast"/>
      <w:ind w:rightChars="0"/>
    </w:pPr>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mD6zmu3S/DgDnopRFhcnF2EfQ8g==">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LibreOffice_project/620$Build-2</Application>
  <AppVersion>15.0000</AppVersion>
  <Pages>13</Pages>
  <Words>3226</Words>
  <Characters>18398</Characters>
  <CharactersWithSpaces>21951</CharactersWithSpaces>
  <Paragraphs>161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2025-06-04T18:40:00Z</dcterms:created>
  <dc:creator>UNIVERSIDAD NACIONAL</dc:creator>
  <dc:description/>
  <dc:language>en-US</dc:language>
  <cp:lastModifiedBy/>
  <dcterms:modified xsi:type="dcterms:W3CDTF">2026-09-29T08:05:36Z</dcterms:modified>
  <cp:revision>1</cp:revision>
  <dc:subject/>
  <dc:title/>
</cp:coreProperties>
</file>