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rPr>
          <w:rFonts w:ascii="Arial" w:hAnsi="Arial" w:eastAsia="Arial" w:cs="Arial"/>
          <w:i/>
          <w:position w:val="0"/>
          <w:sz w:val="24"/>
          <w:vertAlign w:val="baseline"/>
        </w:rPr>
      </w:pPr>
      <w:r>
        <w:rPr>
          <w:rFonts w:eastAsia="Arial" w:cs="Arial" w:ascii="Arial" w:hAnsi="Arial"/>
          <w:i/>
          <w:position w:val="0"/>
          <w:sz w:val="24"/>
          <w:vertAlign w:val="baseline"/>
        </w:rPr>
      </w:r>
    </w:p>
    <w:tbl>
      <w:tblPr>
        <w:tblStyle w:val="Table1"/>
        <w:tblW w:w="14618" w:type="dxa"/>
        <w:jc w:val="start"/>
        <w:tblInd w:w="-108" w:type="dxa"/>
        <w:tblLayout w:type="fixed"/>
        <w:tblCellMar>
          <w:top w:w="0" w:type="dxa"/>
          <w:start w:w="108" w:type="dxa"/>
          <w:bottom w:w="0" w:type="dxa"/>
          <w:end w:w="108" w:type="dxa"/>
        </w:tblCellMar>
        <w:tblLook w:val="0000"/>
      </w:tblPr>
      <w:tblGrid>
        <w:gridCol w:w="14618"/>
      </w:tblGrid>
      <w:tr>
        <w:trPr/>
        <w:tc>
          <w:tcPr>
            <w:tcW w:w="14618" w:type="dxa"/>
            <w:tcBorders>
              <w:top w:val="single" w:sz="4" w:space="0" w:color="000000"/>
              <w:start w:val="single" w:sz="4" w:space="0" w:color="000000"/>
              <w:bottom w:val="single" w:sz="4" w:space="0" w:color="000000"/>
              <w:end w:val="single" w:sz="4" w:space="0" w:color="000000"/>
            </w:tcBorders>
            <w:shd w:fill="F3F3F3" w:val="clear"/>
          </w:tcPr>
          <w:p>
            <w:pPr>
              <w:pStyle w:val="normal1"/>
              <w:keepNext w:val="true"/>
              <w:keepLines w:val="false"/>
              <w:widowControl/>
              <w:numPr>
                <w:ilvl w:val="0"/>
                <w:numId w:val="1"/>
              </w:numPr>
              <w:pBdr/>
              <w:shd w:val="clear" w:fill="auto"/>
              <w:spacing w:lineRule="auto" w:line="240" w:before="0" w:after="60"/>
              <w:ind w:hanging="360" w:start="360" w:end="0"/>
              <w:jc w:val="center"/>
              <w:rPr>
                <w:rFonts w:ascii="Arial" w:hAnsi="Arial" w:eastAsia="Arial" w:cs="Arial"/>
                <w:i w:val="false"/>
                <w:caps w:val="false"/>
                <w:smallCaps w:val="false"/>
                <w:strike w:val="false"/>
                <w:dstrike w:val="false"/>
                <w:color w:val="000000"/>
                <w:position w:val="0"/>
                <w:sz w:val="22"/>
                <w:szCs w:val="22"/>
                <w:shd w:fill="auto" w:val="clear"/>
                <w:vertAlign w:val="baseline"/>
              </w:rPr>
            </w:pPr>
            <w:r>
              <w:rPr>
                <w:rFonts w:eastAsia="Arial" w:cs="Arial" w:ascii="Arial" w:hAnsi="Arial"/>
                <w:b/>
                <w:i w:val="false"/>
                <w:caps w:val="false"/>
                <w:smallCaps w:val="false"/>
                <w:strike w:val="false"/>
                <w:dstrike w:val="false"/>
                <w:color w:val="000000"/>
                <w:position w:val="0"/>
                <w:sz w:val="22"/>
                <w:szCs w:val="22"/>
                <w:u w:val="none"/>
                <w:shd w:fill="auto" w:val="clear"/>
                <w:vertAlign w:val="baseline"/>
              </w:rPr>
              <w:t>INFORMACIÓN GENERAL DEL PROCEDIMIENTO</w:t>
            </w:r>
          </w:p>
        </w:tc>
      </w:tr>
      <w:tr>
        <w:trPr/>
        <w:tc>
          <w:tcPr>
            <w:tcW w:w="14618" w:type="dxa"/>
            <w:tcBorders>
              <w:top w:val="single" w:sz="4" w:space="0" w:color="000000"/>
              <w:start w:val="single" w:sz="4" w:space="0" w:color="000000"/>
              <w:bottom w:val="single" w:sz="4" w:space="0" w:color="000000"/>
              <w:end w:val="single" w:sz="4" w:space="0" w:color="000000"/>
            </w:tcBorders>
          </w:tcPr>
          <w:p>
            <w:pPr>
              <w:pStyle w:val="normal1"/>
              <w:spacing w:lineRule="auto" w:line="240"/>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 xml:space="preserve">OBJETIVO: </w:t>
            </w:r>
            <w:r>
              <w:rPr>
                <w:rFonts w:eastAsia="Arial" w:cs="Arial" w:ascii="Arial" w:hAnsi="Arial"/>
                <w:position w:val="0"/>
                <w:sz w:val="22"/>
                <w:szCs w:val="22"/>
                <w:vertAlign w:val="baseline"/>
              </w:rPr>
              <w:t xml:space="preserve">El </w:t>
            </w:r>
            <w:r>
              <w:rPr>
                <w:rFonts w:eastAsia="Arial" w:cs="Arial" w:ascii="Arial" w:hAnsi="Arial"/>
                <w:sz w:val="22"/>
                <w:szCs w:val="22"/>
              </w:rPr>
              <w:t xml:space="preserve">objetivo del procedimiento </w:t>
            </w:r>
            <w:r>
              <w:rPr>
                <w:rFonts w:eastAsia="Arial" w:cs="Arial" w:ascii="Arial" w:hAnsi="Arial"/>
                <w:position w:val="0"/>
                <w:sz w:val="22"/>
                <w:szCs w:val="22"/>
                <w:vertAlign w:val="baseline"/>
              </w:rPr>
              <w:t>es definir los parámetros para el desarrollo del ensayo de aptitud</w:t>
            </w:r>
            <w:r>
              <w:rPr>
                <w:rFonts w:eastAsia="Arial" w:cs="Arial" w:ascii="Arial" w:hAnsi="Arial"/>
                <w:sz w:val="22"/>
                <w:szCs w:val="22"/>
              </w:rPr>
              <w:t xml:space="preserve">. </w:t>
            </w:r>
            <w:r>
              <w:rPr>
                <w:rFonts w:eastAsia="Arial" w:cs="Arial" w:ascii="Arial" w:hAnsi="Arial"/>
                <w:position w:val="0"/>
                <w:sz w:val="22"/>
                <w:szCs w:val="22"/>
                <w:vertAlign w:val="baseline"/>
              </w:rPr>
              <w:t>Esto se hace en estricto cumplimiento con la norma internacional ISO/IEC 17043:2023.</w:t>
            </w:r>
          </w:p>
        </w:tc>
      </w:tr>
      <w:tr>
        <w:trPr/>
        <w:tc>
          <w:tcPr>
            <w:tcW w:w="14618" w:type="dxa"/>
            <w:tcBorders>
              <w:top w:val="single" w:sz="4" w:space="0" w:color="000000"/>
              <w:start w:val="single" w:sz="4" w:space="0" w:color="000000"/>
              <w:bottom w:val="single" w:sz="4" w:space="0" w:color="000000"/>
              <w:end w:val="single" w:sz="4" w:space="0" w:color="000000"/>
            </w:tcBorders>
          </w:tcPr>
          <w:p>
            <w:pPr>
              <w:pStyle w:val="normal1"/>
              <w:spacing w:lineRule="auto" w:line="240"/>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ALCANCE:</w:t>
            </w:r>
            <w:r>
              <w:rPr>
                <w:rFonts w:eastAsia="Arial" w:cs="Arial" w:ascii="Arial" w:hAnsi="Arial"/>
                <w:position w:val="0"/>
                <w:sz w:val="22"/>
                <w:szCs w:val="22"/>
                <w:vertAlign w:val="baseline"/>
              </w:rPr>
              <w:t xml:space="preserve"> El </w:t>
            </w:r>
            <w:r>
              <w:rPr>
                <w:rFonts w:eastAsia="Arial" w:cs="Arial" w:ascii="Arial" w:hAnsi="Arial"/>
                <w:sz w:val="22"/>
                <w:szCs w:val="22"/>
              </w:rPr>
              <w:t xml:space="preserve">procedimiento </w:t>
            </w:r>
            <w:r>
              <w:rPr>
                <w:rFonts w:eastAsia="Arial" w:cs="Arial" w:ascii="Arial" w:hAnsi="Arial"/>
                <w:position w:val="0"/>
                <w:sz w:val="22"/>
                <w:szCs w:val="22"/>
                <w:vertAlign w:val="baseline"/>
              </w:rPr>
              <w:t>abarca todo el proceso desde la determinación de los niveles del ítem de ensayo</w:t>
            </w:r>
            <w:r>
              <w:rPr>
                <w:rFonts w:eastAsia="Arial" w:cs="Arial" w:ascii="Arial" w:hAnsi="Arial"/>
                <w:sz w:val="22"/>
                <w:szCs w:val="22"/>
              </w:rPr>
              <w:t xml:space="preserve"> y el procedimiento para</w:t>
            </w:r>
            <w:r>
              <w:rPr>
                <w:rFonts w:eastAsia="Arial" w:cs="Arial" w:ascii="Arial" w:hAnsi="Arial"/>
                <w:position w:val="0"/>
                <w:sz w:val="22"/>
                <w:szCs w:val="22"/>
                <w:vertAlign w:val="baseline"/>
              </w:rPr>
              <w:t xml:space="preserve"> </w:t>
            </w:r>
            <w:r>
              <w:rPr>
                <w:rFonts w:eastAsia="Arial" w:cs="Arial" w:ascii="Arial" w:hAnsi="Arial"/>
                <w:sz w:val="22"/>
                <w:szCs w:val="22"/>
              </w:rPr>
              <w:t>la evaluación de la competencia para el gas monóxido de carbono.</w:t>
            </w:r>
          </w:p>
        </w:tc>
      </w:tr>
      <w:tr>
        <w:trPr/>
        <w:tc>
          <w:tcPr>
            <w:tcW w:w="146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both"/>
              <w:rPr>
                <w:rFonts w:ascii="Arial" w:hAnsi="Arial" w:eastAsia="Arial" w:cs="Arial"/>
                <w:b/>
                <w:position w:val="0"/>
                <w:sz w:val="22"/>
                <w:szCs w:val="22"/>
                <w:vertAlign w:val="baseline"/>
              </w:rPr>
            </w:pPr>
            <w:r>
              <w:rPr>
                <w:rFonts w:eastAsia="Arial" w:cs="Arial" w:ascii="Arial" w:hAnsi="Arial"/>
                <w:b/>
                <w:position w:val="0"/>
                <w:sz w:val="22"/>
                <w:szCs w:val="22"/>
                <w:vertAlign w:val="baseline"/>
              </w:rPr>
              <w:t>DEFINICIONES:</w:t>
            </w:r>
          </w:p>
          <w:p>
            <w:pPr>
              <w:pStyle w:val="normal1"/>
              <w:spacing w:lineRule="auto" w:line="240" w:before="240" w:after="240"/>
              <w:jc w:val="both"/>
              <w:rPr>
                <w:rFonts w:ascii="Arial" w:hAnsi="Arial" w:eastAsia="Arial" w:cs="Arial"/>
                <w:sz w:val="22"/>
                <w:szCs w:val="22"/>
              </w:rPr>
            </w:pPr>
            <w:r>
              <w:rPr>
                <w:rFonts w:eastAsia="Arial" w:cs="Arial" w:ascii="Arial" w:hAnsi="Arial"/>
                <w:b/>
                <w:sz w:val="22"/>
                <w:szCs w:val="22"/>
              </w:rPr>
              <w:t>Comparación Interlaboratorio (CIL)</w:t>
            </w:r>
            <w:r>
              <w:rPr>
                <w:rFonts w:eastAsia="Arial" w:cs="Arial" w:ascii="Arial" w:hAnsi="Arial"/>
                <w:sz w:val="22"/>
                <w:szCs w:val="22"/>
              </w:rPr>
              <w:t xml:space="preserve"> La CIL, también conocida como prueba de competencia o prueba interlaboratorio, evalúa la comparabilidad de los resultados de análisis de la misma muestra, analizados por varios laboratorios en el mismo período. Mide la competencia mediante puntuaciones z.</w:t>
            </w:r>
          </w:p>
          <w:p>
            <w:pPr>
              <w:pStyle w:val="normal1"/>
              <w:spacing w:lineRule="auto" w:line="240" w:before="240" w:after="240"/>
              <w:jc w:val="both"/>
              <w:rPr>
                <w:rFonts w:ascii="Arial" w:hAnsi="Arial" w:eastAsia="Arial" w:cs="Arial"/>
                <w:sz w:val="22"/>
                <w:szCs w:val="22"/>
              </w:rPr>
            </w:pPr>
            <w:r>
              <w:rPr>
                <w:rFonts w:eastAsia="Arial" w:cs="Arial" w:ascii="Arial" w:hAnsi="Arial"/>
                <w:b/>
                <w:sz w:val="22"/>
                <w:szCs w:val="22"/>
              </w:rPr>
              <w:t>Desviación estándar CIL</w:t>
            </w:r>
            <w:r>
              <w:rPr>
                <w:rFonts w:eastAsia="Arial" w:cs="Arial" w:ascii="Arial" w:hAnsi="Arial"/>
                <w:sz w:val="22"/>
                <w:szCs w:val="22"/>
              </w:rPr>
              <w:t xml:space="preserve"> La desviación estándar CIL es la desviación estándar calculada para un mensurando en un material de prueba a partir de los resultados presentados por los participantes.</w:t>
            </w:r>
          </w:p>
          <w:p>
            <w:pPr>
              <w:pStyle w:val="normal1"/>
              <w:spacing w:lineRule="auto" w:line="240" w:before="240" w:after="240"/>
              <w:jc w:val="both"/>
              <w:rPr>
                <w:rFonts w:ascii="Arial" w:hAnsi="Arial" w:eastAsia="Arial" w:cs="Arial"/>
                <w:sz w:val="22"/>
                <w:szCs w:val="22"/>
              </w:rPr>
            </w:pPr>
            <w:r>
              <w:rPr>
                <w:rFonts w:eastAsia="Arial" w:cs="Arial" w:ascii="Arial" w:hAnsi="Arial"/>
                <w:b/>
                <w:sz w:val="22"/>
                <w:szCs w:val="22"/>
              </w:rPr>
              <w:t>Desviación estándar para la evaluación de la competencia (σpt​)</w:t>
            </w:r>
            <w:r>
              <w:rPr>
                <w:rFonts w:eastAsia="Arial" w:cs="Arial" w:ascii="Arial" w:hAnsi="Arial"/>
                <w:sz w:val="22"/>
                <w:szCs w:val="22"/>
              </w:rPr>
              <w:t xml:space="preserve"> La desviación estándar para la evaluación de la competencia (σpt​) es una desviación estándar preestablecida que se utiliza para el cálculo de puntuaciones Z en un CIL. Para el CO, σpt​ suele calcularse mediante interpolación lineal basada en el valor asignado (Xref​) utilizando parámetros específicos «a» (pendiente) y «b» (ordenada al origen), acordados por Laboratorios de Referencia. Esto garantiza la coherencia en la evaluación de aptitud, independientemente del nivel de concentración.</w:t>
            </w:r>
          </w:p>
          <w:p>
            <w:pPr>
              <w:pStyle w:val="normal1"/>
              <w:spacing w:lineRule="auto" w:line="240" w:before="240" w:after="240"/>
              <w:jc w:val="both"/>
              <w:rPr>
                <w:rFonts w:ascii="Arial" w:hAnsi="Arial" w:eastAsia="Arial" w:cs="Arial"/>
                <w:sz w:val="22"/>
                <w:szCs w:val="22"/>
              </w:rPr>
            </w:pPr>
            <w:r>
              <w:rPr>
                <w:rFonts w:eastAsia="Arial" w:cs="Arial" w:ascii="Arial" w:hAnsi="Arial"/>
                <w:b/>
                <w:sz w:val="22"/>
                <w:szCs w:val="22"/>
              </w:rPr>
              <w:t>Ensayo de Aptitud (EA)</w:t>
            </w:r>
            <w:r>
              <w:rPr>
                <w:rFonts w:eastAsia="Arial" w:cs="Arial" w:ascii="Arial" w:hAnsi="Arial"/>
                <w:sz w:val="22"/>
                <w:szCs w:val="22"/>
              </w:rPr>
              <w:t xml:space="preserve"> Evaluación del desempeño de un participante contra criterios preestablecidos por medio de comparaciones interlaboratorios.</w:t>
            </w:r>
          </w:p>
          <w:p>
            <w:pPr>
              <w:pStyle w:val="normal1"/>
              <w:spacing w:lineRule="auto" w:line="240" w:before="240" w:after="240"/>
              <w:jc w:val="both"/>
              <w:rPr>
                <w:rFonts w:ascii="Arial" w:hAnsi="Arial" w:eastAsia="Arial" w:cs="Arial"/>
                <w:sz w:val="22"/>
                <w:szCs w:val="22"/>
              </w:rPr>
            </w:pPr>
            <w:r>
              <w:rPr>
                <w:rFonts w:eastAsia="Arial" w:cs="Arial" w:ascii="Arial" w:hAnsi="Arial"/>
                <w:b/>
                <w:sz w:val="22"/>
                <w:szCs w:val="22"/>
              </w:rPr>
              <w:t>Estadísticas robustas</w:t>
            </w:r>
            <w:r>
              <w:rPr>
                <w:rFonts w:eastAsia="Arial" w:cs="Arial" w:ascii="Arial" w:hAnsi="Arial"/>
                <w:sz w:val="22"/>
                <w:szCs w:val="22"/>
              </w:rPr>
              <w:t xml:space="preserve"> Las estadísticas robustas se refieren a un método estadístico utilizado para minimizar la influencia de valores atípicos en la media y la desviación estándar calculadas.</w:t>
            </w:r>
          </w:p>
          <w:p>
            <w:pPr>
              <w:pStyle w:val="normal1"/>
              <w:spacing w:lineRule="auto" w:line="240" w:before="240" w:after="240"/>
              <w:jc w:val="both"/>
              <w:rPr>
                <w:rFonts w:ascii="Arial" w:hAnsi="Arial" w:eastAsia="Arial" w:cs="Arial"/>
                <w:sz w:val="22"/>
                <w:szCs w:val="22"/>
              </w:rPr>
            </w:pPr>
            <w:r>
              <w:rPr>
                <w:rFonts w:eastAsia="Arial" w:cs="Arial" w:ascii="Arial" w:hAnsi="Arial"/>
                <w:b/>
                <w:sz w:val="22"/>
                <w:szCs w:val="22"/>
              </w:rPr>
              <w:t>Item de ensayo - gases de referencia</w:t>
            </w:r>
            <w:r>
              <w:rPr>
                <w:rFonts w:eastAsia="Arial" w:cs="Arial" w:ascii="Arial" w:hAnsi="Arial"/>
                <w:sz w:val="22"/>
                <w:szCs w:val="22"/>
              </w:rPr>
              <w:t xml:space="preserve"> El ítem de ensayo es una atmósfera de gas contaminante criterio en aire cero suministradas a través de un colector de distribución, generadas dinámicamente a partir de un Material Certificado de Referencia.</w:t>
            </w:r>
          </w:p>
          <w:p>
            <w:pPr>
              <w:pStyle w:val="normal1"/>
              <w:spacing w:lineRule="auto" w:line="240" w:before="240" w:after="240"/>
              <w:jc w:val="both"/>
              <w:rPr>
                <w:rFonts w:ascii="Arial" w:hAnsi="Arial" w:eastAsia="Arial" w:cs="Arial"/>
                <w:sz w:val="22"/>
                <w:szCs w:val="22"/>
              </w:rPr>
            </w:pPr>
            <w:r>
              <w:rPr>
                <w:rFonts w:eastAsia="Arial" w:cs="Arial" w:ascii="Arial" w:hAnsi="Arial"/>
                <w:b/>
                <w:sz w:val="22"/>
                <w:szCs w:val="22"/>
              </w:rPr>
              <w:t>Organizador</w:t>
            </w:r>
            <w:r>
              <w:rPr>
                <w:rFonts w:eastAsia="Arial" w:cs="Arial" w:ascii="Arial" w:hAnsi="Arial"/>
                <w:sz w:val="22"/>
                <w:szCs w:val="22"/>
              </w:rPr>
              <w:t xml:space="preserve"> El Organizador es el laboratorio responsable de la organización de la CIL.</w:t>
            </w:r>
          </w:p>
          <w:p>
            <w:pPr>
              <w:pStyle w:val="normal1"/>
              <w:spacing w:lineRule="auto" w:line="240" w:before="240" w:after="240"/>
              <w:jc w:val="both"/>
              <w:rPr>
                <w:rFonts w:ascii="Arial" w:hAnsi="Arial" w:eastAsia="Arial" w:cs="Arial"/>
                <w:sz w:val="22"/>
                <w:szCs w:val="22"/>
              </w:rPr>
            </w:pPr>
            <w:r>
              <w:rPr>
                <w:rFonts w:eastAsia="Arial" w:cs="Arial" w:ascii="Arial" w:hAnsi="Arial"/>
                <w:b/>
                <w:sz w:val="22"/>
                <w:szCs w:val="22"/>
              </w:rPr>
              <w:t>Participante</w:t>
            </w:r>
            <w:r>
              <w:rPr>
                <w:rFonts w:eastAsia="Arial" w:cs="Arial" w:ascii="Arial" w:hAnsi="Arial"/>
                <w:sz w:val="22"/>
                <w:szCs w:val="22"/>
              </w:rPr>
              <w:t xml:space="preserve"> El Participante es el laboratorio que toma parte en una CIL.</w:t>
            </w:r>
          </w:p>
          <w:p>
            <w:pPr>
              <w:pStyle w:val="normal1"/>
              <w:spacing w:lineRule="auto" w:line="240" w:before="240" w:after="240"/>
              <w:jc w:val="both"/>
              <w:rPr>
                <w:rFonts w:ascii="Arial" w:hAnsi="Arial" w:eastAsia="Arial" w:cs="Arial"/>
                <w:sz w:val="22"/>
                <w:szCs w:val="22"/>
              </w:rPr>
            </w:pPr>
            <w:r>
              <w:rPr>
                <w:rFonts w:eastAsia="Arial" w:cs="Arial" w:ascii="Arial" w:hAnsi="Arial"/>
                <w:b/>
                <w:sz w:val="22"/>
                <w:szCs w:val="22"/>
              </w:rPr>
              <w:t>Puntuación En o En-score</w:t>
            </w:r>
            <w:r>
              <w:rPr>
                <w:rFonts w:eastAsia="Arial" w:cs="Arial" w:ascii="Arial" w:hAnsi="Arial"/>
                <w:sz w:val="22"/>
                <w:szCs w:val="22"/>
              </w:rPr>
              <w:t xml:space="preserve"> La puntuación En es un indicador de desempeño que evalúa la capacidad de un participante para proporcionar resultados cercanos a los valores de referencia, considerando sus incertidumbres de medición reportadas y la incertidumbre de los valores asignados.</w:t>
            </w:r>
          </w:p>
          <w:p>
            <w:pPr>
              <w:pStyle w:val="normal1"/>
              <w:spacing w:lineRule="auto" w:line="240" w:before="240" w:after="240"/>
              <w:jc w:val="both"/>
              <w:rPr>
                <w:rFonts w:ascii="Arial" w:hAnsi="Arial" w:eastAsia="Arial" w:cs="Arial"/>
                <w:sz w:val="22"/>
                <w:szCs w:val="22"/>
              </w:rPr>
            </w:pPr>
            <w:r>
              <w:rPr>
                <w:rFonts w:eastAsia="Arial" w:cs="Arial" w:ascii="Arial" w:hAnsi="Arial"/>
                <w:b/>
                <w:sz w:val="22"/>
                <w:szCs w:val="22"/>
              </w:rPr>
              <w:t>Puntuación z/z’ o z/z’-score</w:t>
            </w:r>
            <w:r>
              <w:rPr>
                <w:rFonts w:eastAsia="Arial" w:cs="Arial" w:ascii="Arial" w:hAnsi="Arial"/>
                <w:sz w:val="22"/>
                <w:szCs w:val="22"/>
              </w:rPr>
              <w:t xml:space="preserve"> La puntuación z/z’ es un valor utilizado para clasificar el desempeño de un laboratorio dentro de una CIL.</w:t>
            </w:r>
          </w:p>
          <w:p>
            <w:pPr>
              <w:pStyle w:val="normal1"/>
              <w:spacing w:lineRule="auto" w:line="240" w:before="240" w:after="240"/>
              <w:jc w:val="both"/>
              <w:rPr>
                <w:rFonts w:ascii="Arial" w:hAnsi="Arial" w:eastAsia="Arial" w:cs="Arial"/>
                <w:sz w:val="22"/>
                <w:szCs w:val="22"/>
              </w:rPr>
            </w:pPr>
            <w:r>
              <w:rPr>
                <w:rFonts w:eastAsia="Arial" w:cs="Arial" w:ascii="Arial" w:hAnsi="Arial"/>
                <w:b/>
                <w:sz w:val="22"/>
                <w:szCs w:val="22"/>
              </w:rPr>
              <w:t>Valor Asignado o Valor de Referencia</w:t>
            </w:r>
            <w:r>
              <w:rPr>
                <w:rFonts w:eastAsia="Arial" w:cs="Arial" w:ascii="Arial" w:hAnsi="Arial"/>
                <w:sz w:val="22"/>
                <w:szCs w:val="22"/>
              </w:rPr>
              <w:t xml:space="preserve"> El valor asignado es la concentración de un mensurando, considerada la mejor estimación del valor real de un material de prueba. En un ensayo de concentración in situ (CIL), las mediciones de CALAIRE, calibradas con valores de referencia certificados de Materiales de Referencia Certificados (MRC) y trazables a normas internacionales, sirven como valores asignados.</w:t>
            </w:r>
          </w:p>
          <w:p>
            <w:pPr>
              <w:pStyle w:val="normal1"/>
              <w:spacing w:lineRule="auto" w:line="240" w:before="240" w:after="240"/>
              <w:jc w:val="both"/>
              <w:rPr>
                <w:rFonts w:ascii="Arial" w:hAnsi="Arial" w:eastAsia="Arial" w:cs="Arial"/>
                <w:sz w:val="22"/>
                <w:szCs w:val="22"/>
              </w:rPr>
            </w:pPr>
            <w:r>
              <w:rPr>
                <w:rFonts w:eastAsia="Arial" w:cs="Arial" w:ascii="Arial" w:hAnsi="Arial"/>
                <w:b/>
                <w:sz w:val="22"/>
                <w:szCs w:val="22"/>
              </w:rPr>
              <w:t>Valores atípicos</w:t>
            </w:r>
            <w:r>
              <w:rPr>
                <w:rFonts w:eastAsia="Arial" w:cs="Arial" w:ascii="Arial" w:hAnsi="Arial"/>
                <w:sz w:val="22"/>
                <w:szCs w:val="22"/>
              </w:rPr>
              <w:t xml:space="preserve"> Los valores atípicos son resultados de análisis que se caracterizan como una desviación de los demás resultados de un estudio, de acuerdo con lo establecido en la ISO-IEC 13528:2022.</w:t>
            </w:r>
          </w:p>
          <w:p>
            <w:pPr>
              <w:pStyle w:val="normal1"/>
              <w:spacing w:lineRule="auto" w:line="240" w:before="120" w:after="120"/>
              <w:jc w:val="both"/>
              <w:rPr>
                <w:rFonts w:ascii="Arial" w:hAnsi="Arial" w:eastAsia="Arial" w:cs="Arial"/>
                <w:sz w:val="22"/>
                <w:szCs w:val="22"/>
              </w:rPr>
            </w:pPr>
            <w:r>
              <w:rPr>
                <w:rFonts w:eastAsia="Arial" w:cs="Arial" w:ascii="Arial" w:hAnsi="Arial"/>
                <w:sz w:val="22"/>
                <w:szCs w:val="22"/>
              </w:rPr>
            </w:r>
          </w:p>
        </w:tc>
      </w:tr>
      <w:tr>
        <w:trPr/>
        <w:tc>
          <w:tcPr>
            <w:tcW w:w="14618" w:type="dxa"/>
            <w:tcBorders>
              <w:top w:val="single" w:sz="4" w:space="0" w:color="000000"/>
              <w:start w:val="single" w:sz="4" w:space="0" w:color="000000"/>
              <w:bottom w:val="single" w:sz="4" w:space="0" w:color="000000"/>
              <w:end w:val="single" w:sz="4" w:space="0" w:color="000000"/>
            </w:tcBorders>
          </w:tcPr>
          <w:p>
            <w:pPr>
              <w:pStyle w:val="normal1"/>
              <w:spacing w:lineRule="auto" w:line="240"/>
              <w:rPr>
                <w:rFonts w:ascii="Arial" w:hAnsi="Arial" w:eastAsia="Arial" w:cs="Arial"/>
                <w:b/>
                <w:position w:val="0"/>
                <w:sz w:val="22"/>
                <w:szCs w:val="22"/>
                <w:vertAlign w:val="baseline"/>
              </w:rPr>
            </w:pPr>
            <w:r>
              <w:rPr>
                <w:rFonts w:eastAsia="Arial" w:cs="Arial" w:ascii="Arial" w:hAnsi="Arial"/>
                <w:b/>
                <w:position w:val="0"/>
                <w:sz w:val="22"/>
                <w:szCs w:val="22"/>
                <w:vertAlign w:val="baseline"/>
              </w:rPr>
              <w:t>DOCUMENTOS DE REFERENCIA:</w:t>
            </w:r>
          </w:p>
          <w:p>
            <w:pPr>
              <w:pStyle w:val="normal1"/>
              <w:spacing w:lineRule="auto" w:line="240"/>
              <w:rPr>
                <w:rFonts w:ascii="Arial" w:hAnsi="Arial" w:eastAsia="Arial" w:cs="Arial"/>
                <w:sz w:val="22"/>
                <w:szCs w:val="22"/>
              </w:rPr>
            </w:pPr>
            <w:r>
              <w:rPr>
                <w:rFonts w:eastAsia="Arial" w:cs="Arial" w:ascii="Arial" w:hAnsi="Arial"/>
                <w:sz w:val="22"/>
                <w:szCs w:val="22"/>
              </w:rPr>
              <w:t>ISO-IEC 17043:2023</w:t>
            </w:r>
          </w:p>
          <w:p>
            <w:pPr>
              <w:pStyle w:val="normal1"/>
              <w:spacing w:lineRule="auto" w:line="240"/>
              <w:rPr>
                <w:rFonts w:ascii="Arial" w:hAnsi="Arial" w:eastAsia="Arial" w:cs="Arial"/>
                <w:sz w:val="22"/>
                <w:szCs w:val="22"/>
              </w:rPr>
            </w:pPr>
            <w:r>
              <w:rPr>
                <w:rFonts w:eastAsia="Arial" w:cs="Arial" w:ascii="Arial" w:hAnsi="Arial"/>
                <w:sz w:val="22"/>
                <w:szCs w:val="22"/>
              </w:rPr>
              <w:t>ISO-IEC 13528:2022</w:t>
            </w:r>
          </w:p>
          <w:p>
            <w:pPr>
              <w:pStyle w:val="normal1"/>
              <w:spacing w:lineRule="auto" w:line="240"/>
              <w:rPr>
                <w:rFonts w:ascii="Arial" w:hAnsi="Arial" w:eastAsia="Arial" w:cs="Arial"/>
                <w:sz w:val="22"/>
                <w:szCs w:val="22"/>
              </w:rPr>
            </w:pPr>
            <w:r>
              <w:rPr>
                <w:rFonts w:eastAsia="Arial" w:cs="Arial" w:ascii="Arial" w:hAnsi="Arial"/>
                <w:sz w:val="22"/>
                <w:szCs w:val="22"/>
              </w:rPr>
              <w:t>P-PSEA-01 Protocolo General De Ensayo De Aptitud Para Gases Contaminantes Criterio</w:t>
            </w:r>
          </w:p>
          <w:p>
            <w:pPr>
              <w:pStyle w:val="normal1"/>
              <w:spacing w:lineRule="auto" w:line="240"/>
              <w:rPr>
                <w:rFonts w:ascii="Arial" w:hAnsi="Arial" w:eastAsia="Arial" w:cs="Arial"/>
                <w:sz w:val="22"/>
                <w:szCs w:val="22"/>
              </w:rPr>
            </w:pPr>
            <w:r>
              <w:rPr>
                <w:rFonts w:eastAsia="Arial" w:cs="Arial" w:ascii="Arial" w:hAnsi="Arial"/>
                <w:sz w:val="22"/>
                <w:szCs w:val="22"/>
              </w:rPr>
              <w:t>P-PSEA-06 Procedimiento de Elaboración de Informe de Resultados</w:t>
            </w:r>
          </w:p>
          <w:p>
            <w:pPr>
              <w:pStyle w:val="normal1"/>
              <w:spacing w:lineRule="auto" w:line="240"/>
              <w:rPr>
                <w:rFonts w:ascii="Arial" w:hAnsi="Arial" w:eastAsia="Arial" w:cs="Arial"/>
                <w:sz w:val="22"/>
                <w:szCs w:val="22"/>
              </w:rPr>
            </w:pPr>
            <w:r>
              <w:rPr>
                <w:rFonts w:eastAsia="Arial" w:cs="Arial" w:ascii="Arial" w:hAnsi="Arial"/>
                <w:sz w:val="22"/>
                <w:szCs w:val="22"/>
              </w:rPr>
            </w:r>
          </w:p>
        </w:tc>
      </w:tr>
      <w:tr>
        <w:trPr/>
        <w:tc>
          <w:tcPr>
            <w:tcW w:w="146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CONDICIONES GENERALES:</w:t>
            </w:r>
          </w:p>
        </w:tc>
      </w:tr>
    </w:tbl>
    <w:p>
      <w:pPr>
        <w:pStyle w:val="normal1"/>
        <w:spacing w:lineRule="auto" w:line="24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bl>
      <w:tblPr>
        <w:tblStyle w:val="Table2"/>
        <w:tblW w:w="14618" w:type="dxa"/>
        <w:jc w:val="center"/>
        <w:tblInd w:w="0" w:type="dxa"/>
        <w:tblLayout w:type="fixed"/>
        <w:tblCellMar>
          <w:top w:w="0" w:type="dxa"/>
          <w:start w:w="108" w:type="dxa"/>
          <w:bottom w:w="0" w:type="dxa"/>
          <w:end w:w="108" w:type="dxa"/>
        </w:tblCellMar>
        <w:tblLook w:val="0000"/>
      </w:tblPr>
      <w:tblGrid>
        <w:gridCol w:w="14618"/>
      </w:tblGrid>
      <w:tr>
        <w:trPr>
          <w:trHeight w:val="338" w:hRule="atLeast"/>
          <w:cantSplit/>
        </w:trPr>
        <w:tc>
          <w:tcPr>
            <w:tcW w:w="14618"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keepNext w:val="true"/>
              <w:keepLines w:val="false"/>
              <w:widowControl/>
              <w:numPr>
                <w:ilvl w:val="0"/>
                <w:numId w:val="1"/>
              </w:numPr>
              <w:pBdr/>
              <w:shd w:val="clear" w:fill="auto"/>
              <w:spacing w:lineRule="auto" w:line="240" w:before="0" w:after="60"/>
              <w:ind w:hanging="360" w:start="360" w:end="0"/>
              <w:jc w:val="center"/>
              <w:rPr>
                <w:rFonts w:ascii="Arial" w:hAnsi="Arial" w:eastAsia="Arial" w:cs="Arial"/>
                <w:b w:val="false"/>
                <w:i w:val="false"/>
                <w:caps w:val="false"/>
                <w:smallCaps w:val="false"/>
                <w:strike w:val="false"/>
                <w:dstrike w:val="false"/>
                <w:color w:val="000000"/>
                <w:position w:val="0"/>
                <w:sz w:val="22"/>
                <w:szCs w:val="22"/>
                <w:shd w:fill="auto" w:val="clear"/>
                <w:vertAlign w:val="baseline"/>
              </w:rPr>
            </w:pPr>
            <w:r>
              <w:rPr>
                <w:rFonts w:eastAsia="Arial" w:cs="Arial" w:ascii="Arial" w:hAnsi="Arial"/>
                <w:b/>
                <w:i w:val="false"/>
                <w:caps w:val="false"/>
                <w:smallCaps w:val="false"/>
                <w:strike w:val="false"/>
                <w:dstrike w:val="false"/>
                <w:color w:val="000000"/>
                <w:position w:val="0"/>
                <w:sz w:val="22"/>
                <w:szCs w:val="22"/>
                <w:u w:val="none"/>
                <w:shd w:fill="auto" w:val="clear"/>
                <w:vertAlign w:val="baseline"/>
              </w:rPr>
              <w:t>INFORMACIÓN ESPECÍFICA DEL PROCEDIMIENTO</w:t>
            </w:r>
          </w:p>
        </w:tc>
      </w:tr>
      <w:tr>
        <w:trPr>
          <w:trHeight w:val="190" w:hRule="atLeast"/>
        </w:trPr>
        <w:tc>
          <w:tcPr>
            <w:tcW w:w="14618"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426" w:leader="none"/>
              </w:tabs>
              <w:spacing w:lineRule="auto" w:line="240" w:before="0" w:after="0"/>
              <w:jc w:val="both"/>
              <w:rPr>
                <w:rFonts w:ascii="Arial" w:hAnsi="Arial" w:eastAsia="Arial" w:cs="Arial"/>
                <w:color w:val="1B1C1D"/>
                <w:sz w:val="22"/>
                <w:szCs w:val="22"/>
              </w:rPr>
            </w:pPr>
            <w:r>
              <w:rPr>
                <w:rFonts w:eastAsia="Arial" w:cs="Arial" w:ascii="Arial" w:hAnsi="Arial"/>
                <w:position w:val="0"/>
                <w:sz w:val="22"/>
                <w:szCs w:val="22"/>
                <w:vertAlign w:val="baseline"/>
              </w:rPr>
              <w:t xml:space="preserve"> </w:t>
            </w:r>
          </w:p>
          <w:p>
            <w:pPr>
              <w:pStyle w:val="Heading1"/>
              <w:keepNext w:val="false"/>
              <w:keepLines w:val="false"/>
              <w:widowControl w:val="false"/>
              <w:numPr>
                <w:ilvl w:val="1"/>
                <w:numId w:val="1"/>
              </w:numPr>
              <w:spacing w:lineRule="auto" w:line="240" w:before="0" w:after="0"/>
              <w:ind w:hanging="432" w:start="792"/>
              <w:rPr>
                <w:rFonts w:ascii="Arial" w:hAnsi="Arial" w:eastAsia="Arial" w:cs="Arial"/>
                <w:color w:val="1B1C1D"/>
                <w:sz w:val="22"/>
                <w:szCs w:val="22"/>
              </w:rPr>
            </w:pPr>
            <w:bookmarkStart w:id="0" w:name="_heading=h.wb1ctethuqpa"/>
            <w:bookmarkEnd w:id="0"/>
            <w:r>
              <w:rPr>
                <w:rFonts w:eastAsia="Arial" w:cs="Arial" w:ascii="Arial" w:hAnsi="Arial"/>
                <w:color w:val="1B1C1D"/>
                <w:sz w:val="22"/>
                <w:szCs w:val="22"/>
              </w:rPr>
              <w:t>Preparación del Ítem de Ensayo</w:t>
            </w:r>
          </w:p>
          <w:p>
            <w:pPr>
              <w:pStyle w:val="Heading2"/>
              <w:keepNext w:val="false"/>
              <w:keepLines w:val="false"/>
              <w:widowControl w:val="false"/>
              <w:numPr>
                <w:ilvl w:val="2"/>
                <w:numId w:val="1"/>
              </w:numPr>
              <w:spacing w:lineRule="auto" w:line="240" w:before="0" w:after="0"/>
              <w:ind w:hanging="504" w:start="1224"/>
              <w:rPr>
                <w:rFonts w:ascii="Arial" w:hAnsi="Arial" w:eastAsia="Arial" w:cs="Arial"/>
                <w:color w:val="1B1C1D"/>
                <w:sz w:val="22"/>
                <w:szCs w:val="22"/>
              </w:rPr>
            </w:pPr>
            <w:bookmarkStart w:id="1" w:name="_heading=h.9te01vemjvx8"/>
            <w:bookmarkEnd w:id="1"/>
            <w:r>
              <w:rPr>
                <w:rFonts w:eastAsia="Arial" w:cs="Arial" w:ascii="Arial" w:hAnsi="Arial"/>
                <w:color w:val="1B1C1D"/>
                <w:sz w:val="22"/>
                <w:szCs w:val="22"/>
              </w:rPr>
              <w:t>Ítem de Ensayo de Aptitud</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El ítem de ensayo consiste en concentraciones de monóxido de nitrógeno/dióxido de nitrógeno en aire cero generadas dinámicamente. El gas es suministrado a través de un manifold de distribución de vidrio para asegurar la inercia del material y la homogeneidad de la muestra.</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p>
            <w:pPr>
              <w:pStyle w:val="Heading2"/>
              <w:keepNext w:val="false"/>
              <w:keepLines w:val="false"/>
              <w:widowControl w:val="false"/>
              <w:numPr>
                <w:ilvl w:val="2"/>
                <w:numId w:val="1"/>
              </w:numPr>
              <w:spacing w:lineRule="auto" w:line="240" w:before="0" w:after="0"/>
              <w:ind w:hanging="504" w:start="1224"/>
              <w:rPr>
                <w:rFonts w:ascii="Arial" w:hAnsi="Arial" w:eastAsia="Arial" w:cs="Arial"/>
                <w:color w:val="1B1C1D"/>
                <w:sz w:val="22"/>
                <w:szCs w:val="22"/>
              </w:rPr>
            </w:pPr>
            <w:bookmarkStart w:id="2" w:name="_heading=h.vqlreetlxmzf"/>
            <w:bookmarkEnd w:id="2"/>
            <w:r>
              <w:rPr>
                <w:rFonts w:eastAsia="Arial" w:cs="Arial" w:ascii="Arial" w:hAnsi="Arial"/>
                <w:color w:val="1B1C1D"/>
                <w:sz w:val="22"/>
                <w:szCs w:val="22"/>
              </w:rPr>
              <w:t>Generación de los Niveles de Concentración de Ensayo</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Basado en el análisis de datos históricos y los umbrales regulatorios de calidad del aire, se han establecido cinco niveles de concentración nominal para el ensayo. Estos niveles cubren el rango de medición crítico para el CO. La concentración nominal se refiere a la concentración fijada en el calibrador dinámico.</w:t>
            </w:r>
          </w:p>
          <w:p>
            <w:pPr>
              <w:pStyle w:val="normal1"/>
              <w:widowControl w:val="false"/>
              <w:spacing w:lineRule="auto" w:line="240" w:before="0" w:after="240"/>
              <w:rPr>
                <w:rFonts w:ascii="Arial" w:hAnsi="Arial" w:eastAsia="Arial" w:cs="Arial"/>
                <w:color w:val="1B1C1D"/>
                <w:sz w:val="22"/>
                <w:szCs w:val="22"/>
              </w:rPr>
            </w:pPr>
            <w:r>
              <w:rPr>
                <w:rFonts w:eastAsia="Arial" w:cs="Arial" w:ascii="Arial" w:hAnsi="Arial"/>
                <w:color w:val="1B1C1D"/>
                <w:sz w:val="22"/>
                <w:szCs w:val="22"/>
              </w:rPr>
            </w:r>
          </w:p>
          <w:p>
            <w:pPr>
              <w:pStyle w:val="normal1"/>
              <w:widowControl w:val="false"/>
              <w:spacing w:lineRule="auto" w:line="240" w:before="0" w:after="240"/>
              <w:rPr>
                <w:rFonts w:ascii="Arial" w:hAnsi="Arial" w:eastAsia="Arial" w:cs="Arial"/>
                <w:color w:val="1B1C1D"/>
                <w:sz w:val="22"/>
                <w:szCs w:val="22"/>
              </w:rPr>
            </w:pPr>
            <w:r>
              <w:rPr>
                <w:rFonts w:eastAsia="Arial" w:cs="Arial" w:ascii="Arial" w:hAnsi="Arial"/>
                <w:b/>
                <w:color w:val="1B1C1D"/>
                <w:sz w:val="22"/>
                <w:szCs w:val="22"/>
              </w:rPr>
              <w:t>Concentraciones de CO</w:t>
            </w:r>
          </w:p>
          <w:tbl>
            <w:tblPr>
              <w:tblStyle w:val="Table3"/>
              <w:tblW w:w="14325" w:type="dxa"/>
              <w:jc w:val="start"/>
              <w:tblInd w:w="1" w:type="dxa"/>
              <w:tblLayout w:type="fixed"/>
              <w:tblCellMar>
                <w:top w:w="40" w:type="dxa"/>
                <w:start w:w="40" w:type="dxa"/>
                <w:bottom w:w="40" w:type="dxa"/>
                <w:end w:w="40" w:type="dxa"/>
              </w:tblCellMar>
              <w:tblLook w:val="0600"/>
            </w:tblPr>
            <w:tblGrid>
              <w:gridCol w:w="3581"/>
              <w:gridCol w:w="3581"/>
              <w:gridCol w:w="3581"/>
              <w:gridCol w:w="3582"/>
            </w:tblGrid>
            <w:tr>
              <w:trPr>
                <w:trHeight w:val="375" w:hRule="atLeast"/>
              </w:trPr>
              <w:tc>
                <w:tcPr>
                  <w:tcW w:w="14325" w:type="dxa"/>
                  <w:gridSpan w:val="4"/>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b/>
                      <w:color w:val="1B1C1D"/>
                      <w:sz w:val="22"/>
                      <w:szCs w:val="22"/>
                    </w:rPr>
                  </w:pPr>
                  <w:r>
                    <w:rPr>
                      <w:rFonts w:eastAsia="Arial" w:cs="Arial" w:ascii="Arial" w:hAnsi="Arial"/>
                      <w:b/>
                      <w:color w:val="1B1C1D"/>
                      <w:sz w:val="22"/>
                      <w:szCs w:val="22"/>
                    </w:rPr>
                    <w:t>Tabla 1. Concentraciones referencia para CO</w:t>
                  </w:r>
                </w:p>
              </w:tc>
            </w:tr>
            <w:tr>
              <w:trPr>
                <w:trHeight w:val="165" w:hRule="atLeast"/>
              </w:trPr>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b/>
                      <w:color w:val="1B1C1D"/>
                      <w:sz w:val="22"/>
                      <w:szCs w:val="22"/>
                    </w:rPr>
                    <w:t>Serie</w:t>
                  </w:r>
                </w:p>
              </w:tc>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b/>
                      <w:color w:val="1B1C1D"/>
                      <w:sz w:val="22"/>
                      <w:szCs w:val="22"/>
                    </w:rPr>
                    <w:t>Nivel de Concentración</w:t>
                  </w:r>
                </w:p>
              </w:tc>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b/>
                      <w:color w:val="1B1C1D"/>
                      <w:sz w:val="22"/>
                      <w:szCs w:val="22"/>
                    </w:rPr>
                    <w:t>Concentración Nominal SO2</w:t>
                  </w:r>
                </w:p>
              </w:tc>
              <w:tc>
                <w:tcPr>
                  <w:tcW w:w="3582"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b/>
                      <w:color w:val="1B1C1D"/>
                      <w:sz w:val="22"/>
                      <w:szCs w:val="22"/>
                    </w:rPr>
                    <w:t>Tiempo corrida</w:t>
                  </w:r>
                </w:p>
              </w:tc>
            </w:tr>
            <w:tr>
              <w:trPr>
                <w:trHeight w:val="360" w:hRule="atLeast"/>
              </w:trPr>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b/>
                      <w:color w:val="1B1C1D"/>
                      <w:sz w:val="22"/>
                      <w:szCs w:val="22"/>
                    </w:rPr>
                    <w:t>0</w:t>
                  </w:r>
                </w:p>
              </w:tc>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Cero</w:t>
                  </w:r>
                </w:p>
              </w:tc>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0</w:t>
                  </w:r>
                </w:p>
              </w:tc>
              <w:tc>
                <w:tcPr>
                  <w:tcW w:w="3582"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1 h</w:t>
                  </w:r>
                </w:p>
              </w:tc>
            </w:tr>
            <w:tr>
              <w:trPr>
                <w:trHeight w:val="360" w:hRule="atLeast"/>
              </w:trPr>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b/>
                      <w:color w:val="1B1C1D"/>
                      <w:sz w:val="22"/>
                      <w:szCs w:val="22"/>
                    </w:rPr>
                    <w:t>1</w:t>
                  </w:r>
                </w:p>
              </w:tc>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Bajo</w:t>
                  </w:r>
                </w:p>
              </w:tc>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1</w:t>
                  </w:r>
                </w:p>
              </w:tc>
              <w:tc>
                <w:tcPr>
                  <w:tcW w:w="3582"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1h 30</w:t>
                  </w:r>
                </w:p>
              </w:tc>
            </w:tr>
            <w:tr>
              <w:trPr>
                <w:trHeight w:val="360" w:hRule="atLeast"/>
              </w:trPr>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b/>
                      <w:color w:val="1B1C1D"/>
                      <w:sz w:val="22"/>
                      <w:szCs w:val="22"/>
                    </w:rPr>
                    <w:t>2</w:t>
                  </w:r>
                </w:p>
              </w:tc>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Medio-Bajo</w:t>
                  </w:r>
                </w:p>
              </w:tc>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3</w:t>
                  </w:r>
                </w:p>
              </w:tc>
              <w:tc>
                <w:tcPr>
                  <w:tcW w:w="3582"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1h 30</w:t>
                  </w:r>
                </w:p>
              </w:tc>
            </w:tr>
            <w:tr>
              <w:trPr>
                <w:trHeight w:val="360" w:hRule="atLeast"/>
              </w:trPr>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b/>
                      <w:color w:val="1B1C1D"/>
                      <w:sz w:val="22"/>
                      <w:szCs w:val="22"/>
                    </w:rPr>
                    <w:t>3</w:t>
                  </w:r>
                </w:p>
              </w:tc>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Medio-Alto</w:t>
                  </w:r>
                </w:p>
              </w:tc>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5</w:t>
                  </w:r>
                </w:p>
              </w:tc>
              <w:tc>
                <w:tcPr>
                  <w:tcW w:w="3582"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1h 30</w:t>
                  </w:r>
                </w:p>
              </w:tc>
            </w:tr>
            <w:tr>
              <w:trPr/>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b/>
                      <w:color w:val="1B1C1D"/>
                      <w:sz w:val="22"/>
                      <w:szCs w:val="22"/>
                    </w:rPr>
                    <w:t>4</w:t>
                  </w:r>
                </w:p>
              </w:tc>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Alto</w:t>
                  </w:r>
                </w:p>
              </w:tc>
              <w:tc>
                <w:tcPr>
                  <w:tcW w:w="3581"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8</w:t>
                  </w:r>
                </w:p>
              </w:tc>
              <w:tc>
                <w:tcPr>
                  <w:tcW w:w="3582" w:type="dxa"/>
                  <w:tcBorders>
                    <w:top w:val="single" w:sz="6" w:space="0" w:color="000000"/>
                    <w:start w:val="single" w:sz="6" w:space="0" w:color="000000"/>
                    <w:bottom w:val="single" w:sz="6" w:space="0" w:color="000000"/>
                    <w:end w:val="single" w:sz="6" w:space="0" w:color="000000"/>
                  </w:tcBorders>
                  <w:vAlign w:val="bottom"/>
                </w:tcPr>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1h 30</w:t>
                  </w:r>
                </w:p>
              </w:tc>
            </w:tr>
          </w:tbl>
          <w:p>
            <w:pPr>
              <w:pStyle w:val="normal1"/>
              <w:widowControl w:val="false"/>
              <w:spacing w:lineRule="auto" w:line="240" w:before="0" w:after="240"/>
              <w:rPr>
                <w:rFonts w:ascii="Arial" w:hAnsi="Arial" w:eastAsia="Arial" w:cs="Arial"/>
                <w:color w:val="1B1C1D"/>
                <w:sz w:val="22"/>
                <w:szCs w:val="22"/>
              </w:rPr>
            </w:pPr>
            <w:r>
              <w:rPr>
                <w:rFonts w:eastAsia="Arial" w:cs="Arial" w:ascii="Arial" w:hAnsi="Arial"/>
                <w:b/>
                <w:color w:val="1B1C1D"/>
                <w:sz w:val="22"/>
                <w:szCs w:val="22"/>
              </w:rPr>
              <w:t>*Todas las concentraciones en la tabla son nominales expresadas en ppm</w:t>
            </w:r>
          </w:p>
          <w:p>
            <w:pPr>
              <w:pStyle w:val="normal1"/>
              <w:widowControl w:val="false"/>
              <w:spacing w:lineRule="auto" w:line="240" w:before="0" w:after="0"/>
              <w:rPr>
                <w:rFonts w:ascii="Arial" w:hAnsi="Arial" w:eastAsia="Arial" w:cs="Arial"/>
                <w:b/>
                <w:color w:val="1B1C1D"/>
                <w:sz w:val="22"/>
                <w:szCs w:val="22"/>
              </w:rPr>
            </w:pPr>
            <w:r>
              <w:rPr>
                <w:rFonts w:eastAsia="Arial" w:cs="Arial" w:ascii="Arial" w:hAnsi="Arial"/>
                <w:b/>
                <w:color w:val="1B1C1D"/>
                <w:sz w:val="22"/>
                <w:szCs w:val="22"/>
              </w:rPr>
            </w:r>
          </w:p>
          <w:p>
            <w:pPr>
              <w:pStyle w:val="Heading2"/>
              <w:keepNext w:val="false"/>
              <w:keepLines w:val="false"/>
              <w:widowControl w:val="false"/>
              <w:numPr>
                <w:ilvl w:val="2"/>
                <w:numId w:val="1"/>
              </w:numPr>
              <w:spacing w:lineRule="auto" w:line="240" w:before="0" w:after="0"/>
              <w:ind w:hanging="504" w:start="1224"/>
              <w:rPr>
                <w:rFonts w:ascii="Arial" w:hAnsi="Arial" w:eastAsia="Arial" w:cs="Arial"/>
                <w:color w:val="1B1C1D"/>
                <w:sz w:val="22"/>
                <w:szCs w:val="22"/>
              </w:rPr>
            </w:pPr>
            <w:bookmarkStart w:id="3" w:name="_heading=h.19vp4w9qxfhg"/>
            <w:bookmarkEnd w:id="3"/>
            <w:r>
              <w:rPr>
                <w:rFonts w:eastAsia="Arial" w:cs="Arial" w:ascii="Arial" w:hAnsi="Arial"/>
                <w:color w:val="1B1C1D"/>
                <w:sz w:val="22"/>
                <w:szCs w:val="22"/>
              </w:rPr>
              <w:t>Evaluación de Homogeneidad y Estabilidad del Item de Ensayo</w:t>
            </w:r>
          </w:p>
          <w:p>
            <w:pPr>
              <w:pStyle w:val="normal1"/>
              <w:spacing w:lineRule="auto" w:line="240"/>
              <w:ind w:hanging="0" w:start="0"/>
              <w:rPr>
                <w:rFonts w:ascii="Arial" w:hAnsi="Arial" w:eastAsia="Arial" w:cs="Arial"/>
                <w:sz w:val="22"/>
                <w:szCs w:val="22"/>
              </w:rPr>
            </w:pPr>
            <w:r>
              <w:rPr>
                <w:rFonts w:eastAsia="Arial" w:cs="Arial" w:ascii="Arial" w:hAnsi="Arial"/>
                <w:sz w:val="22"/>
                <w:szCs w:val="22"/>
              </w:rPr>
            </w:r>
          </w:p>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t>La evaluación de la homogeneidad del material de prueba se fundamenta en los métodos de la Sección 5.3 y los criterios de ISO 13528:2015/2022, comparando las lecturas de analizadores duplicados a lo largo del colector de muestreo. Se considera homogéneo si la desviación estándar entre muestras (ss) o las diferencias absolutas observadas son inferiores al valor crítico de homogeneidad (c), derivado de la desviación estándar esperada en la CIL (σpt), o a las diferencias máximas especificadas. La mezcla de prueba se preparan dinámicamente mediante el uso de un generador de ozono con fotómetro nivel 2 en la cadena de trazabilidad, y se distribuyen a través de un colector de vidrio para asegurar la inercia y homogeneidad. La prueba de cero directo al equipo se realiza conectando el calibrador directamente y luego a través del manifold para evaluar la línea calibrador-manifold-analizador. La estabilidad del material de prueba para una CIL se evalúa comparando los valores medios de las mediciones del analizador de referencia a lo largo de cada análisis de concentración, según la Sección 5.4, considerándose estables si las diferencias observadas están dentro de los umbrales porcentuales o absolutos.</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p>
            <w:pPr>
              <w:pStyle w:val="Heading1"/>
              <w:keepNext w:val="false"/>
              <w:keepLines w:val="false"/>
              <w:widowControl w:val="false"/>
              <w:numPr>
                <w:ilvl w:val="1"/>
                <w:numId w:val="1"/>
              </w:numPr>
              <w:spacing w:lineRule="auto" w:line="240" w:before="0" w:after="0"/>
              <w:ind w:hanging="432" w:start="792"/>
              <w:rPr>
                <w:rFonts w:ascii="Arial" w:hAnsi="Arial" w:eastAsia="Arial" w:cs="Arial"/>
                <w:color w:val="1B1C1D"/>
                <w:sz w:val="22"/>
                <w:szCs w:val="22"/>
              </w:rPr>
            </w:pPr>
            <w:bookmarkStart w:id="4" w:name="_heading=h.x9a9be8xynay"/>
            <w:bookmarkEnd w:id="4"/>
            <w:r>
              <w:rPr>
                <w:rFonts w:eastAsia="Arial" w:cs="Arial" w:ascii="Arial" w:hAnsi="Arial"/>
                <w:color w:val="1B1C1D"/>
                <w:sz w:val="22"/>
                <w:szCs w:val="22"/>
              </w:rPr>
              <w:t>Procesamiento de datos</w:t>
            </w:r>
          </w:p>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t>CALAIRE procesa los resultados de las mediciones de cada laboratorio para cumplir con la ISO 17043:2023 en aseguramiento y confidencialidad de datos. Los laboratorios deben informar tres valores promedio de 30 minutos, más la incertidumbre asociada, para cada compuesto y nivel de concentración.</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p>
            <w:pPr>
              <w:pStyle w:val="Heading2"/>
              <w:keepNext w:val="false"/>
              <w:keepLines w:val="false"/>
              <w:widowControl w:val="false"/>
              <w:numPr>
                <w:ilvl w:val="2"/>
                <w:numId w:val="1"/>
              </w:numPr>
              <w:spacing w:lineRule="auto" w:line="240" w:before="0" w:after="0"/>
              <w:ind w:hanging="504" w:start="1224"/>
              <w:rPr>
                <w:rFonts w:ascii="Arial" w:hAnsi="Arial" w:eastAsia="Arial" w:cs="Arial"/>
                <w:color w:val="1B1C1D"/>
                <w:sz w:val="22"/>
                <w:szCs w:val="22"/>
              </w:rPr>
            </w:pPr>
            <w:bookmarkStart w:id="5" w:name="_heading=h.r6nnzx90hpep"/>
            <w:bookmarkEnd w:id="5"/>
            <w:r>
              <w:rPr>
                <w:rFonts w:eastAsia="Arial" w:cs="Arial" w:ascii="Arial" w:hAnsi="Arial"/>
                <w:color w:val="1B1C1D"/>
                <w:sz w:val="22"/>
                <w:szCs w:val="22"/>
              </w:rPr>
              <w:t>Detección de Valores Atípicos</w:t>
            </w:r>
          </w:p>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t>CALAIRE, como organizador, realiza pruebas estadísticas para identificar valores atípicos y asegurar la consistencia de los datos. Errores obvios deben ser eliminados del conjunto de datos antes de aplicar procedimientos estadísticos robustos o pruebas formales de valores atípicos. Si existe incertidumbre sobre la naturaleza de un resultado anómalo, este debe permanecer en el conjunto de datos para su posterior tratamiento estadístico, y el laboratorio participante deberá investigar la discrepancia.</w:t>
            </w:r>
          </w:p>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r>
          </w:p>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t>Los datos deben revisarse visualmente usando histogramas y gráficos de densidad para identificar anomalías. La norma ISO 13528 prefiere métodos estadísticos robustos (basados en mediana y rango central del 50%) sobre la eliminación explícita de valores atípicos, ya que son menos sensibles a valores extremos. Aunque se prefieren los métodos robustos, las pruebas específicas de valores atípicos (Grubbs, Cochran) pueden complementar la revisión visual si se demuestran los supuestos estadísticos subyacentes. Es crucial documentar las pruebas usadas, el nivel de confianza y los límites de rechazo de datos.</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p>
            <w:pPr>
              <w:pStyle w:val="Heading2"/>
              <w:keepNext w:val="false"/>
              <w:keepLines w:val="false"/>
              <w:widowControl w:val="false"/>
              <w:numPr>
                <w:ilvl w:val="2"/>
                <w:numId w:val="1"/>
              </w:numPr>
              <w:spacing w:lineRule="auto" w:line="240" w:before="0" w:after="0"/>
              <w:ind w:hanging="504" w:start="1224"/>
              <w:rPr>
                <w:rFonts w:ascii="Arial" w:hAnsi="Arial" w:eastAsia="Arial" w:cs="Arial"/>
                <w:color w:val="1B1C1D"/>
                <w:sz w:val="22"/>
                <w:szCs w:val="22"/>
              </w:rPr>
            </w:pPr>
            <w:bookmarkStart w:id="6" w:name="_heading=h.zchgojkugnv6"/>
            <w:bookmarkEnd w:id="6"/>
            <w:r>
              <w:rPr>
                <w:rFonts w:eastAsia="Arial" w:cs="Arial" w:ascii="Arial" w:hAnsi="Arial"/>
                <w:color w:val="1B1C1D"/>
                <w:sz w:val="22"/>
                <w:szCs w:val="22"/>
              </w:rPr>
              <w:t>Evaluación del Desempeño</w:t>
            </w:r>
          </w:p>
          <w:p>
            <w:pPr>
              <w:pStyle w:val="Heading2"/>
              <w:keepNext w:val="false"/>
              <w:keepLines w:val="false"/>
              <w:widowControl w:val="false"/>
              <w:numPr>
                <w:ilvl w:val="3"/>
                <w:numId w:val="1"/>
              </w:numPr>
              <w:spacing w:lineRule="auto" w:line="240" w:before="0" w:after="0"/>
              <w:ind w:hanging="648" w:start="1728"/>
              <w:rPr>
                <w:rFonts w:ascii="Arial" w:hAnsi="Arial" w:eastAsia="Arial" w:cs="Arial"/>
                <w:color w:val="1B1C1D"/>
                <w:sz w:val="22"/>
                <w:szCs w:val="22"/>
              </w:rPr>
            </w:pPr>
            <w:bookmarkStart w:id="7" w:name="_heading=h.6oh10q8rnzt9"/>
            <w:bookmarkEnd w:id="7"/>
            <w:r>
              <w:rPr>
                <w:rFonts w:eastAsia="Arial" w:cs="Arial" w:ascii="Arial" w:hAnsi="Arial"/>
                <w:color w:val="1B1C1D"/>
                <w:sz w:val="22"/>
                <w:szCs w:val="22"/>
              </w:rPr>
              <w:t>Determinación del Valor Asignado (xpt​)</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 xml:space="preserve">El valor asignado para cada serie de concentración es la media de las mediciones obtenidas por el analizador de referencia de CALAIRE durante el período de medición establecido. Se determina al estimar la media de 3 concentraciones promedio de una hora. . </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p>
            <w:pPr>
              <w:pStyle w:val="Heading2"/>
              <w:keepNext w:val="false"/>
              <w:keepLines w:val="false"/>
              <w:widowControl w:val="false"/>
              <w:numPr>
                <w:ilvl w:val="3"/>
                <w:numId w:val="1"/>
              </w:numPr>
              <w:spacing w:lineRule="auto" w:line="240" w:before="0" w:after="0"/>
              <w:ind w:hanging="648" w:start="1728"/>
              <w:rPr>
                <w:rFonts w:ascii="Arial" w:hAnsi="Arial" w:eastAsia="Arial" w:cs="Arial"/>
                <w:color w:val="1B1C1D"/>
                <w:sz w:val="22"/>
                <w:szCs w:val="22"/>
              </w:rPr>
            </w:pPr>
            <w:bookmarkStart w:id="8" w:name="_heading=h.lapx203eh5rw"/>
            <w:bookmarkEnd w:id="8"/>
            <w:r>
              <w:rPr>
                <w:rFonts w:eastAsia="Arial" w:cs="Arial" w:ascii="Arial" w:hAnsi="Arial"/>
                <w:color w:val="1B1C1D"/>
                <w:sz w:val="22"/>
                <w:szCs w:val="22"/>
              </w:rPr>
              <w:t>Estimación de la Incertidumbre del Valor Asignado (Uxpt​)</w:t>
            </w:r>
          </w:p>
          <w:p>
            <w:pPr>
              <w:pStyle w:val="normal1"/>
              <w:widowControl w:val="false"/>
              <w:spacing w:lineRule="auto" w:line="240" w:before="0" w:after="240"/>
              <w:rPr>
                <w:rFonts w:ascii="Arial" w:hAnsi="Arial" w:eastAsia="Arial" w:cs="Arial"/>
                <w:color w:val="1B1C1D"/>
                <w:sz w:val="22"/>
                <w:szCs w:val="22"/>
              </w:rPr>
            </w:pPr>
            <w:r>
              <w:rPr>
                <w:rFonts w:eastAsia="Arial" w:cs="Arial" w:ascii="Arial" w:hAnsi="Arial"/>
                <w:color w:val="1B1C1D"/>
                <w:sz w:val="22"/>
                <w:szCs w:val="22"/>
              </w:rPr>
              <w:t>La calidad del valor asignado (xpt) se define por su incertidumbre expandida asociada (U(xpt)). La evaluación sigue los principios de la Guía para la Expresión de la Incertidumbre en la Medición (GUM). La incertidumbre estándar del valor asignado, u(xpt), se calcula combinando la incertidumbre del valor de referencia del instrumento (uref) y la incertidumbre debida a la falta de homogeneidad (uhom).</w:t>
            </w:r>
          </w:p>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r>
          </w:p>
          <w:tbl>
            <w:tblPr>
              <w:tblStyle w:val="Table4"/>
              <w:tblW w:w="14418" w:type="dxa"/>
              <w:jc w:val="start"/>
              <w:tblInd w:w="0" w:type="dxa"/>
              <w:tblLayout w:type="fixed"/>
              <w:tblCellMar>
                <w:top w:w="100" w:type="dxa"/>
                <w:start w:w="100" w:type="dxa"/>
                <w:bottom w:w="100" w:type="dxa"/>
                <w:end w:w="100" w:type="dxa"/>
              </w:tblCellMar>
              <w:tblLook w:val="0600"/>
            </w:tblPr>
            <w:tblGrid>
              <w:gridCol w:w="7209"/>
              <w:gridCol w:w="7209"/>
            </w:tblGrid>
            <w:tr>
              <w:trPr/>
              <w:tc>
                <w:tcPr>
                  <w:tcW w:w="7209" w:type="dxa"/>
                  <w:tcBorders/>
                  <w:shd w:fill="auto" w:val="clear"/>
                </w:tcPr>
                <w:p>
                  <w:pPr>
                    <w:pStyle w:val="normal1"/>
                    <w:widowControl w:val="false"/>
                    <w:spacing w:lineRule="auto" w:line="240"/>
                    <w:rPr>
                      <w:rFonts w:ascii="Arial" w:hAnsi="Arial" w:eastAsia="Arial" w:cs="Arial"/>
                      <w:color w:val="1B1C1D"/>
                      <w:sz w:val="22"/>
                      <w:szCs w:val="22"/>
                    </w:rPr>
                  </w:pPr>
                  <w:sdt>
                    <w:sdtPr>
                      <w:tag w:val="goog_rdk_0"/>
                      <w:id w:val="1568925771"/>
                      <w:lock w:val="contentLocked"/>
                      <w:text/>
                    </w:sdtPr>
                    <w:sdtContent>
                      <w:r>
                        <w:rPr>
                          <w:rFonts w:eastAsia="Arial" w:cs="Arial" w:ascii="Arial" w:hAnsi="Arial"/>
                          <w:color w:val="1B1C1D"/>
                          <w:sz w:val="22"/>
                          <w:szCs w:val="22"/>
                        </w:rPr>
                      </w:r>
                      <w:r>
                        <w:rPr>
                          <w:rFonts w:eastAsia="Arial" w:cs="Arial" w:ascii="Arial" w:hAnsi="Arial"/>
                          <w:color w:val="1B1C1D"/>
                          <w:sz w:val="22"/>
                          <w:szCs w:val="22"/>
                        </w:rPr>
                        <w:t>uX​=uref</w:t>
                      </w:r>
                      <w:r>
                        <w:rPr>
                          <w:rFonts w:eastAsia="Arial" w:cs="Arial" w:ascii="Arial" w:hAnsi="Arial"/>
                          <w:color w:val="1B1C1D"/>
                          <w:sz w:val="22"/>
                          <w:szCs w:val="22"/>
                          <w:vertAlign w:val="superscript"/>
                        </w:rPr>
                        <w:t>2</w:t>
                      </w:r>
                      <w:r>
                        <w:rPr>
                          <w:rFonts w:eastAsia="Arial" w:cs="Arial" w:ascii="Arial" w:hAnsi="Arial"/>
                          <w:color w:val="1B1C1D"/>
                          <w:sz w:val="22"/>
                          <w:szCs w:val="22"/>
                        </w:rPr>
                        <w:t>​+uhom</w:t>
                      </w:r>
                      <w:r>
                        <w:rPr>
                          <w:rFonts w:eastAsia="Arial" w:cs="Arial" w:ascii="Arial" w:hAnsi="Arial"/>
                          <w:color w:val="1B1C1D"/>
                          <w:sz w:val="22"/>
                          <w:szCs w:val="22"/>
                          <w:vertAlign w:val="superscript"/>
                        </w:rPr>
                        <w:t>2​​</w:t>
                      </w:r>
                    </w:sdtContent>
                  </w:sdt>
                </w:p>
              </w:tc>
              <w:tc>
                <w:tcPr>
                  <w:tcW w:w="7209" w:type="dxa"/>
                  <w:tcBorders/>
                  <w:shd w:fill="auto" w:val="clear"/>
                </w:tcPr>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t>Ec 1</w:t>
                  </w:r>
                </w:p>
              </w:tc>
            </w:tr>
          </w:tbl>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r>
          </w:p>
          <w:p>
            <w:pPr>
              <w:pStyle w:val="normal1"/>
              <w:widowControl w:val="false"/>
              <w:spacing w:lineRule="auto" w:line="240" w:before="0" w:after="240"/>
              <w:rPr>
                <w:rFonts w:ascii="Arial" w:hAnsi="Arial" w:eastAsia="Arial" w:cs="Arial"/>
                <w:color w:val="1B1C1D"/>
                <w:sz w:val="22"/>
                <w:szCs w:val="22"/>
              </w:rPr>
            </w:pPr>
            <w:r>
              <w:rPr>
                <w:rFonts w:eastAsia="Arial" w:cs="Arial" w:ascii="Arial" w:hAnsi="Arial"/>
                <w:color w:val="1B1C1D"/>
                <w:sz w:val="22"/>
                <w:szCs w:val="22"/>
              </w:rPr>
              <w:t>La incertidumbre expandida se calcula luego usando un factor de cobertura de k=2 (para un nivel de confianza de ~95%):</w:t>
            </w:r>
          </w:p>
          <w:tbl>
            <w:tblPr>
              <w:tblStyle w:val="Table5"/>
              <w:tblW w:w="14418" w:type="dxa"/>
              <w:jc w:val="start"/>
              <w:tblInd w:w="0" w:type="dxa"/>
              <w:tblLayout w:type="fixed"/>
              <w:tblCellMar>
                <w:top w:w="100" w:type="dxa"/>
                <w:start w:w="100" w:type="dxa"/>
                <w:bottom w:w="100" w:type="dxa"/>
                <w:end w:w="100" w:type="dxa"/>
              </w:tblCellMar>
              <w:tblLook w:val="0600"/>
            </w:tblPr>
            <w:tblGrid>
              <w:gridCol w:w="7209"/>
              <w:gridCol w:w="7209"/>
            </w:tblGrid>
            <w:tr>
              <w:trPr/>
              <w:tc>
                <w:tcPr>
                  <w:tcW w:w="7209" w:type="dxa"/>
                  <w:tcBorders/>
                  <w:shd w:fill="auto" w:val="clear"/>
                </w:tcPr>
                <w:p>
                  <w:pPr>
                    <w:pStyle w:val="normal1"/>
                    <w:widowControl w:val="false"/>
                    <w:spacing w:lineRule="auto" w:line="240"/>
                    <w:rPr>
                      <w:rFonts w:ascii="Arial" w:hAnsi="Arial" w:eastAsia="Arial" w:cs="Arial"/>
                      <w:color w:val="1B1C1D"/>
                      <w:sz w:val="22"/>
                      <w:szCs w:val="22"/>
                    </w:rPr>
                  </w:pPr>
                  <w:sdt>
                    <w:sdtPr>
                      <w:tag w:val="goog_rdk_1"/>
                      <w:id w:val="391588626"/>
                    </w:sdtPr>
                    <w:sdtContent>
                      <w:r>
                        <w:rPr>
                          <w:rFonts w:eastAsia="Arial Unicode MS" w:cs="Arial Unicode MS" w:ascii="Arial Unicode MS" w:hAnsi="Arial Unicode MS"/>
                          <w:color w:val="1B1C1D"/>
                          <w:sz w:val="22"/>
                          <w:szCs w:val="22"/>
                        </w:rPr>
                      </w:r>
                      <w:r>
                        <w:rPr>
                          <w:rFonts w:eastAsia="Arial Unicode MS" w:cs="Arial Unicode MS" w:ascii="Arial Unicode MS" w:hAnsi="Arial Unicode MS"/>
                          <w:color w:val="1B1C1D"/>
                          <w:sz w:val="22"/>
                          <w:szCs w:val="22"/>
                        </w:rPr>
                        <w:t>UX​=2⋅uX​</w:t>
                      </w:r>
                    </w:sdtContent>
                  </w:sdt>
                </w:p>
              </w:tc>
              <w:tc>
                <w:tcPr>
                  <w:tcW w:w="7209" w:type="dxa"/>
                  <w:tcBorders/>
                  <w:shd w:fill="auto" w:val="clear"/>
                </w:tcPr>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t>Ec 2</w:t>
                  </w:r>
                </w:p>
              </w:tc>
            </w:tr>
          </w:tbl>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r>
          </w:p>
          <w:p>
            <w:pPr>
              <w:pStyle w:val="normal1"/>
              <w:widowControl w:val="false"/>
              <w:spacing w:lineRule="auto" w:line="240" w:before="0" w:after="240"/>
              <w:rPr>
                <w:rFonts w:ascii="Arial" w:hAnsi="Arial" w:eastAsia="Arial" w:cs="Arial"/>
                <w:color w:val="1B1C1D"/>
                <w:sz w:val="22"/>
                <w:szCs w:val="22"/>
              </w:rPr>
            </w:pPr>
            <w:r>
              <w:rPr>
                <w:rFonts w:eastAsia="Arial" w:cs="Arial" w:ascii="Arial" w:hAnsi="Arial"/>
                <w:color w:val="1B1C1D"/>
                <w:sz w:val="22"/>
                <w:szCs w:val="22"/>
              </w:rPr>
              <w:t>La incertidumbre del instrumento de referencia, uref​, es una composición de varias fuentes de incertidumbre individuales, que se combinan en cuadratura:</w:t>
            </w:r>
          </w:p>
          <w:tbl>
            <w:tblPr>
              <w:tblStyle w:val="Table6"/>
              <w:tblW w:w="14418" w:type="dxa"/>
              <w:jc w:val="start"/>
              <w:tblInd w:w="0" w:type="dxa"/>
              <w:tblLayout w:type="fixed"/>
              <w:tblCellMar>
                <w:top w:w="100" w:type="dxa"/>
                <w:start w:w="100" w:type="dxa"/>
                <w:bottom w:w="100" w:type="dxa"/>
                <w:end w:w="100" w:type="dxa"/>
              </w:tblCellMar>
              <w:tblLook w:val="0600"/>
            </w:tblPr>
            <w:tblGrid>
              <w:gridCol w:w="7209"/>
              <w:gridCol w:w="7209"/>
            </w:tblGrid>
            <w:tr>
              <w:trPr/>
              <w:tc>
                <w:tcPr>
                  <w:tcW w:w="7209" w:type="dxa"/>
                  <w:tcBorders/>
                  <w:shd w:fill="auto" w:val="clear"/>
                </w:tcPr>
                <w:p>
                  <w:pPr>
                    <w:pStyle w:val="normal1"/>
                    <w:widowControl w:val="false"/>
                    <w:spacing w:lineRule="auto" w:line="240"/>
                    <w:rPr>
                      <w:rFonts w:ascii="Arial" w:hAnsi="Arial" w:eastAsia="Arial" w:cs="Arial"/>
                      <w:color w:val="1B1C1D"/>
                      <w:sz w:val="22"/>
                      <w:szCs w:val="22"/>
                      <w:vertAlign w:val="superscript"/>
                    </w:rPr>
                  </w:pPr>
                  <w:sdt>
                    <w:sdtPr>
                      <w:tag w:val="goog_rdk_3"/>
                      <w:id w:val="1347644127"/>
                      <w:lock w:val="contentLocked"/>
                      <w:text/>
                    </w:sdtPr>
                    <w:sdtContent>
                      <w:r>
                        <w:rPr>
                          <w:rFonts w:eastAsia="Arial" w:cs="Arial" w:ascii="Arial" w:hAnsi="Arial"/>
                          <w:color w:val="1B1C1D"/>
                          <w:sz w:val="22"/>
                          <w:szCs w:val="22"/>
                        </w:rPr>
                      </w:r>
                      <w:r>
                        <w:rPr>
                          <w:rFonts w:eastAsia="Arial" w:cs="Arial" w:ascii="Arial" w:hAnsi="Arial"/>
                          <w:color w:val="1B1C1D"/>
                          <w:sz w:val="22"/>
                          <w:szCs w:val="22"/>
                        </w:rPr>
                        <w:t>uref​=ucal</w:t>
                      </w:r>
                      <w:r>
                        <w:rPr>
                          <w:rFonts w:eastAsia="Arial" w:cs="Arial" w:ascii="Arial" w:hAnsi="Arial"/>
                          <w:color w:val="1B1C1D"/>
                          <w:sz w:val="22"/>
                          <w:szCs w:val="22"/>
                          <w:vertAlign w:val="superscript"/>
                        </w:rPr>
                        <w:t>2</w:t>
                      </w:r>
                      <w:r>
                        <w:rPr>
                          <w:rFonts w:eastAsia="Arial" w:cs="Arial" w:ascii="Arial" w:hAnsi="Arial"/>
                          <w:color w:val="1B1C1D"/>
                          <w:sz w:val="22"/>
                          <w:szCs w:val="22"/>
                        </w:rPr>
                        <w:t>​+ur</w:t>
                      </w:r>
                      <w:r>
                        <w:rPr>
                          <w:rFonts w:eastAsia="Arial" w:cs="Arial" w:ascii="Arial" w:hAnsi="Arial"/>
                          <w:color w:val="1B1C1D"/>
                          <w:sz w:val="22"/>
                          <w:szCs w:val="22"/>
                          <w:vertAlign w:val="superscript"/>
                        </w:rPr>
                        <w:t>2​</w:t>
                      </w:r>
                      <w:r>
                        <w:rPr>
                          <w:rFonts w:eastAsia="Arial" w:cs="Arial" w:ascii="Arial" w:hAnsi="Arial"/>
                          <w:color w:val="1B1C1D"/>
                          <w:sz w:val="22"/>
                          <w:szCs w:val="22"/>
                        </w:rPr>
                        <w:t>+ulof</w:t>
                      </w:r>
                      <w:r>
                        <w:rPr>
                          <w:rFonts w:eastAsia="Arial" w:cs="Arial" w:ascii="Arial" w:hAnsi="Arial"/>
                          <w:color w:val="1B1C1D"/>
                          <w:sz w:val="22"/>
                          <w:szCs w:val="22"/>
                          <w:vertAlign w:val="superscript"/>
                        </w:rPr>
                        <w:t>2</w:t>
                      </w:r>
                      <w:r>
                        <w:rPr>
                          <w:rFonts w:eastAsia="Arial" w:cs="Arial" w:ascii="Arial" w:hAnsi="Arial"/>
                          <w:color w:val="1B1C1D"/>
                          <w:sz w:val="22"/>
                          <w:szCs w:val="22"/>
                        </w:rPr>
                        <w:t>​+ud</w:t>
                      </w:r>
                      <w:r>
                        <w:rPr>
                          <w:rFonts w:eastAsia="Arial" w:cs="Arial" w:ascii="Arial" w:hAnsi="Arial"/>
                          <w:color w:val="1B1C1D"/>
                          <w:sz w:val="22"/>
                          <w:szCs w:val="22"/>
                          <w:vertAlign w:val="superscript"/>
                        </w:rPr>
                        <w:t>2</w:t>
                      </w:r>
                      <w:r>
                        <w:rPr>
                          <w:rFonts w:eastAsia="Arial" w:cs="Arial" w:ascii="Arial" w:hAnsi="Arial"/>
                          <w:color w:val="1B1C1D"/>
                          <w:sz w:val="22"/>
                          <w:szCs w:val="22"/>
                        </w:rPr>
                        <w:t>​+uEC</w:t>
                      </w:r>
                      <w:r>
                        <w:rPr>
                          <w:rFonts w:eastAsia="Arial" w:cs="Arial" w:ascii="Arial" w:hAnsi="Arial"/>
                          <w:color w:val="1B1C1D"/>
                          <w:sz w:val="22"/>
                          <w:szCs w:val="22"/>
                          <w:vertAlign w:val="superscript"/>
                        </w:rPr>
                        <w:t>2</w:t>
                      </w:r>
                      <w:r>
                        <w:rPr>
                          <w:rFonts w:eastAsia="Arial" w:cs="Arial" w:ascii="Arial" w:hAnsi="Arial"/>
                          <w:color w:val="1B1C1D"/>
                          <w:sz w:val="22"/>
                          <w:szCs w:val="22"/>
                        </w:rPr>
                        <w:t>​+uinfl</w:t>
                      </w:r>
                      <w:r>
                        <w:rPr>
                          <w:rFonts w:eastAsia="Arial" w:cs="Arial" w:ascii="Arial" w:hAnsi="Arial"/>
                          <w:color w:val="1B1C1D"/>
                          <w:sz w:val="22"/>
                          <w:szCs w:val="22"/>
                          <w:vertAlign w:val="superscript"/>
                        </w:rPr>
                        <w:t>2​​</w:t>
                      </w:r>
                    </w:sdtContent>
                  </w:sdt>
                </w:p>
              </w:tc>
              <w:tc>
                <w:tcPr>
                  <w:tcW w:w="7209" w:type="dxa"/>
                  <w:tcBorders/>
                  <w:shd w:fill="auto" w:val="clear"/>
                </w:tcPr>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t>Ec 3</w:t>
                  </w:r>
                </w:p>
              </w:tc>
            </w:tr>
          </w:tbl>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r>
          </w:p>
          <w:p>
            <w:pPr>
              <w:pStyle w:val="normal1"/>
              <w:widowControl w:val="false"/>
              <w:spacing w:lineRule="auto" w:line="240" w:before="0" w:after="120"/>
              <w:rPr>
                <w:rFonts w:ascii="Arial" w:hAnsi="Arial" w:eastAsia="Arial" w:cs="Arial"/>
                <w:color w:val="1B1C1D"/>
                <w:sz w:val="22"/>
                <w:szCs w:val="22"/>
              </w:rPr>
            </w:pPr>
            <w:r>
              <w:rPr>
                <w:rFonts w:eastAsia="Arial" w:cs="Arial" w:ascii="Arial" w:hAnsi="Arial"/>
                <w:color w:val="1B1C1D"/>
                <w:sz w:val="22"/>
                <w:szCs w:val="22"/>
              </w:rPr>
              <w:t>Donde:</w:t>
            </w:r>
          </w:p>
          <w:p>
            <w:pPr>
              <w:pStyle w:val="normal1"/>
              <w:widowControl w:val="false"/>
              <w:numPr>
                <w:ilvl w:val="0"/>
                <w:numId w:val="2"/>
              </w:numPr>
              <w:spacing w:lineRule="auto" w:line="240" w:before="0" w:after="0"/>
              <w:ind w:hanging="360" w:start="465"/>
              <w:rPr>
                <w:rFonts w:ascii="Arial" w:hAnsi="Arial" w:eastAsia="Arial" w:cs="Arial"/>
                <w:sz w:val="22"/>
                <w:szCs w:val="22"/>
              </w:rPr>
            </w:pPr>
            <w:r>
              <w:rPr>
                <w:rFonts w:eastAsia="Arial" w:cs="Arial" w:ascii="Arial" w:hAnsi="Arial"/>
                <w:b/>
                <w:color w:val="1B1C1D"/>
                <w:sz w:val="22"/>
                <w:szCs w:val="22"/>
              </w:rPr>
              <w:t>ucal</w:t>
            </w:r>
            <w:r>
              <w:rPr>
                <w:rFonts w:eastAsia="Arial" w:cs="Arial" w:ascii="Arial" w:hAnsi="Arial"/>
                <w:color w:val="1B1C1D"/>
                <w:sz w:val="22"/>
                <w:szCs w:val="22"/>
              </w:rPr>
              <w:t>: Incertidumbre del gas de calibración y del sistema de dilución.</w:t>
            </w:r>
          </w:p>
          <w:p>
            <w:pPr>
              <w:pStyle w:val="normal1"/>
              <w:widowControl w:val="false"/>
              <w:numPr>
                <w:ilvl w:val="0"/>
                <w:numId w:val="2"/>
              </w:numPr>
              <w:spacing w:lineRule="auto" w:line="240" w:before="0" w:after="0"/>
              <w:ind w:hanging="360" w:start="465"/>
              <w:rPr>
                <w:rFonts w:ascii="Arial" w:hAnsi="Arial" w:eastAsia="Arial" w:cs="Arial"/>
                <w:sz w:val="22"/>
                <w:szCs w:val="22"/>
              </w:rPr>
            </w:pPr>
            <w:r>
              <w:rPr>
                <w:rFonts w:eastAsia="Arial" w:cs="Arial" w:ascii="Arial" w:hAnsi="Arial"/>
                <w:b/>
                <w:color w:val="1B1C1D"/>
                <w:sz w:val="22"/>
                <w:szCs w:val="22"/>
              </w:rPr>
              <w:t>ur</w:t>
            </w:r>
            <w:r>
              <w:rPr>
                <w:rFonts w:eastAsia="Arial" w:cs="Arial" w:ascii="Arial" w:hAnsi="Arial"/>
                <w:color w:val="1B1C1D"/>
                <w:sz w:val="22"/>
                <w:szCs w:val="22"/>
              </w:rPr>
              <w:t>: Incertidumbre por repetibilidad a corto plazo (ruido del instrumento).</w:t>
            </w:r>
          </w:p>
          <w:p>
            <w:pPr>
              <w:pStyle w:val="normal1"/>
              <w:widowControl w:val="false"/>
              <w:numPr>
                <w:ilvl w:val="0"/>
                <w:numId w:val="2"/>
              </w:numPr>
              <w:spacing w:lineRule="auto" w:line="240" w:before="0" w:after="0"/>
              <w:ind w:hanging="360" w:start="465"/>
              <w:rPr>
                <w:rFonts w:ascii="Arial" w:hAnsi="Arial" w:eastAsia="Arial" w:cs="Arial"/>
                <w:sz w:val="22"/>
                <w:szCs w:val="22"/>
              </w:rPr>
            </w:pPr>
            <w:r>
              <w:rPr>
                <w:rFonts w:eastAsia="Arial" w:cs="Arial" w:ascii="Arial" w:hAnsi="Arial"/>
                <w:b/>
                <w:color w:val="1B1C1D"/>
                <w:sz w:val="22"/>
                <w:szCs w:val="22"/>
              </w:rPr>
              <w:t>ulof</w:t>
            </w:r>
            <w:r>
              <w:rPr>
                <w:rFonts w:eastAsia="Arial" w:cs="Arial" w:ascii="Arial" w:hAnsi="Arial"/>
                <w:color w:val="1B1C1D"/>
                <w:sz w:val="22"/>
                <w:szCs w:val="22"/>
              </w:rPr>
              <w:t>: Incertidumbre por falta de ajuste (no linealidad).</w:t>
            </w:r>
          </w:p>
          <w:p>
            <w:pPr>
              <w:pStyle w:val="normal1"/>
              <w:widowControl w:val="false"/>
              <w:numPr>
                <w:ilvl w:val="0"/>
                <w:numId w:val="2"/>
              </w:numPr>
              <w:spacing w:lineRule="auto" w:line="240" w:before="0" w:after="0"/>
              <w:ind w:hanging="360" w:start="465"/>
              <w:rPr>
                <w:rFonts w:ascii="Arial" w:hAnsi="Arial" w:eastAsia="Arial" w:cs="Arial"/>
                <w:sz w:val="22"/>
                <w:szCs w:val="22"/>
              </w:rPr>
            </w:pPr>
            <w:r>
              <w:rPr>
                <w:rFonts w:eastAsia="Arial" w:cs="Arial" w:ascii="Arial" w:hAnsi="Arial"/>
                <w:b/>
                <w:color w:val="1B1C1D"/>
                <w:sz w:val="22"/>
                <w:szCs w:val="22"/>
              </w:rPr>
              <w:t>ud</w:t>
            </w:r>
            <w:r>
              <w:rPr>
                <w:rFonts w:eastAsia="Arial" w:cs="Arial" w:ascii="Arial" w:hAnsi="Arial"/>
                <w:color w:val="1B1C1D"/>
                <w:sz w:val="22"/>
                <w:szCs w:val="22"/>
              </w:rPr>
              <w:t>: Incertidumbre por deriva a largo plazo entre calibraciones.</w:t>
            </w:r>
          </w:p>
          <w:p>
            <w:pPr>
              <w:pStyle w:val="normal1"/>
              <w:widowControl w:val="false"/>
              <w:numPr>
                <w:ilvl w:val="0"/>
                <w:numId w:val="2"/>
              </w:numPr>
              <w:spacing w:lineRule="auto" w:line="240" w:before="0" w:after="120"/>
              <w:ind w:hanging="360" w:start="465"/>
              <w:rPr>
                <w:rFonts w:ascii="Arial" w:hAnsi="Arial" w:eastAsia="Arial" w:cs="Arial"/>
                <w:sz w:val="22"/>
                <w:szCs w:val="22"/>
              </w:rPr>
            </w:pPr>
            <w:r>
              <w:rPr>
                <w:rFonts w:eastAsia="Arial" w:cs="Arial" w:ascii="Arial" w:hAnsi="Arial"/>
                <w:b/>
                <w:color w:val="1B1C1D"/>
                <w:sz w:val="22"/>
                <w:szCs w:val="22"/>
              </w:rPr>
              <w:t>uinfl</w:t>
            </w:r>
            <w:r>
              <w:rPr>
                <w:rFonts w:eastAsia="Arial" w:cs="Arial" w:ascii="Arial" w:hAnsi="Arial"/>
                <w:color w:val="1B1C1D"/>
                <w:sz w:val="22"/>
                <w:szCs w:val="22"/>
              </w:rPr>
              <w:t>: Incertidumbre por influencias ambientales (temperatura, presión).</w:t>
            </w:r>
          </w:p>
          <w:p>
            <w:pPr>
              <w:pStyle w:val="normal1"/>
              <w:widowControl w:val="false"/>
              <w:spacing w:lineRule="auto" w:line="240" w:before="120" w:after="120"/>
              <w:rPr>
                <w:rFonts w:ascii="Arial" w:hAnsi="Arial" w:eastAsia="Arial" w:cs="Arial"/>
                <w:color w:val="1B1C1D"/>
                <w:sz w:val="22"/>
                <w:szCs w:val="22"/>
              </w:rPr>
            </w:pPr>
            <w:r>
              <w:rPr>
                <w:rFonts w:eastAsia="Arial" w:cs="Arial" w:ascii="Arial" w:hAnsi="Arial"/>
                <w:color w:val="1B1C1D"/>
                <w:sz w:val="22"/>
                <w:szCs w:val="22"/>
              </w:rPr>
            </w:r>
          </w:p>
          <w:tbl>
            <w:tblPr>
              <w:tblStyle w:val="Table7"/>
              <w:tblW w:w="14310" w:type="dxa"/>
              <w:jc w:val="start"/>
              <w:tblInd w:w="0" w:type="dxa"/>
              <w:tblLayout w:type="fixed"/>
              <w:tblCellMar>
                <w:top w:w="120" w:type="dxa"/>
                <w:start w:w="180" w:type="dxa"/>
                <w:bottom w:w="120" w:type="dxa"/>
                <w:end w:w="180" w:type="dxa"/>
              </w:tblCellMar>
              <w:tblLook w:val="0600"/>
            </w:tblPr>
            <w:tblGrid>
              <w:gridCol w:w="3577"/>
              <w:gridCol w:w="3578"/>
              <w:gridCol w:w="3577"/>
              <w:gridCol w:w="3578"/>
            </w:tblGrid>
            <w:tr>
              <w:trPr>
                <w:trHeight w:val="440" w:hRule="atLeast"/>
              </w:trPr>
              <w:tc>
                <w:tcPr>
                  <w:tcW w:w="14310" w:type="dxa"/>
                  <w:gridSpan w:val="4"/>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b/>
                      <w:color w:val="1B1C1D"/>
                      <w:sz w:val="22"/>
                      <w:szCs w:val="22"/>
                    </w:rPr>
                  </w:pPr>
                  <w:sdt>
                    <w:sdtPr>
                      <w:tag w:val="goog_rdk_4"/>
                      <w:id w:val="-161937353"/>
                      <w:lock w:val="contentLocked"/>
                      <w:text/>
                    </w:sdtPr>
                    <w:sdtContent>
                      <w:r>
                        <w:rPr>
                          <w:rFonts w:eastAsia="Arial" w:cs="Arial" w:ascii="Arial" w:hAnsi="Arial"/>
                          <w:b/>
                          <w:color w:val="1B1C1D"/>
                          <w:sz w:val="22"/>
                          <w:szCs w:val="22"/>
                        </w:rPr>
                      </w:r>
                      <w:r>
                        <w:rPr>
                          <w:rFonts w:eastAsia="Arial" w:cs="Arial" w:ascii="Arial" w:hAnsi="Arial"/>
                          <w:b/>
                          <w:color w:val="1B1C1D"/>
                          <w:sz w:val="22"/>
                          <w:szCs w:val="22"/>
                        </w:rPr>
                        <w:t>Tabla 2. Resumen de componentes para la estimación de la incertidumbre</w:t>
                      </w:r>
                    </w:sdtContent>
                  </w:sdt>
                </w:p>
              </w:tc>
            </w:tr>
            <w:tr>
              <w:trPr/>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b/>
                      <w:color w:val="1B1C1D"/>
                      <w:sz w:val="22"/>
                      <w:szCs w:val="22"/>
                    </w:rPr>
                  </w:pPr>
                  <w:r>
                    <w:rPr>
                      <w:rFonts w:eastAsia="Arial" w:cs="Arial" w:ascii="Arial" w:hAnsi="Arial"/>
                      <w:b/>
                      <w:color w:val="1B1C1D"/>
                      <w:sz w:val="22"/>
                      <w:szCs w:val="22"/>
                    </w:rPr>
                    <w:t>Componente de Incertidumbre</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b/>
                      <w:color w:val="1B1C1D"/>
                      <w:sz w:val="22"/>
                      <w:szCs w:val="22"/>
                    </w:rPr>
                  </w:pPr>
                  <w:r>
                    <w:rPr>
                      <w:rFonts w:eastAsia="Arial" w:cs="Arial" w:ascii="Arial" w:hAnsi="Arial"/>
                      <w:b/>
                      <w:color w:val="1B1C1D"/>
                      <w:sz w:val="22"/>
                      <w:szCs w:val="22"/>
                    </w:rPr>
                    <w:t>Datos Específicos a Recolectar</w:t>
                  </w:r>
                </w:p>
              </w:tc>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b/>
                      <w:color w:val="1B1C1D"/>
                      <w:sz w:val="22"/>
                      <w:szCs w:val="22"/>
                    </w:rPr>
                  </w:pPr>
                  <w:r>
                    <w:rPr>
                      <w:rFonts w:eastAsia="Arial" w:cs="Arial" w:ascii="Arial" w:hAnsi="Arial"/>
                      <w:b/>
                      <w:color w:val="1B1C1D"/>
                      <w:sz w:val="22"/>
                      <w:szCs w:val="22"/>
                    </w:rPr>
                    <w:t>Frecuencia de Recolección</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b/>
                      <w:color w:val="1B1C1D"/>
                      <w:sz w:val="22"/>
                      <w:szCs w:val="22"/>
                    </w:rPr>
                  </w:pPr>
                  <w:r>
                    <w:rPr>
                      <w:rFonts w:eastAsia="Arial" w:cs="Arial" w:ascii="Arial" w:hAnsi="Arial"/>
                      <w:b/>
                      <w:color w:val="1B1C1D"/>
                      <w:sz w:val="22"/>
                      <w:szCs w:val="22"/>
                    </w:rPr>
                    <w:t>Fuente del Procedimiento</w:t>
                  </w:r>
                </w:p>
              </w:tc>
            </w:tr>
            <w:tr>
              <w:trPr/>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1. Trazabilidad del Patrón de Calibración</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Del certificado del cilindro de gas primario de CO: ID del Cilindro, Concentración Certificada, Incertidumbre Expandida.</w:t>
                  </w:r>
                </w:p>
              </w:tc>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Anual (al recibir un nuevo cilindro)</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USEPA 40 CFR Part 50, App. C</w:t>
                  </w:r>
                </w:p>
              </w:tc>
            </w:tr>
            <w:tr>
              <w:trPr/>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2. Linealidad (Falta de Ajuste)</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Lecturas promedio del analizador para al menos 5 concentraciones que cubran el rango de trabajo (incluyendo cero).</w:t>
                  </w:r>
                </w:p>
              </w:tc>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Anual, o después de un mantenimiento mayor.</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BS EN 14626</w:t>
                  </w:r>
                </w:p>
              </w:tc>
            </w:tr>
            <w:tr>
              <w:trPr/>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3. Repetibilidad (Ruido a Corto Plazo)</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Una serie de 20 lecturas consecutivas e independientes del analizador a una concentración estable y conocida.</w:t>
                  </w:r>
                </w:p>
              </w:tc>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Antes de cada ensayo de aptitud.</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BS EN 14626</w:t>
                  </w:r>
                </w:p>
              </w:tc>
            </w:tr>
            <w:tr>
              <w:trPr/>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4. Estabilidad (Deriva a Largo Plazo)</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Lecturas de cero y de un gas de span conocido.</w:t>
                  </w:r>
                </w:p>
              </w:tc>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Previo al EA</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EPA QA Handbook</w:t>
                  </w:r>
                </w:p>
              </w:tc>
            </w:tr>
            <w:tr>
              <w:trPr/>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5. Influencias Ambientales</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Temperatura y presión barométrica máximas y mínimas registradas en el laboratorio.</w:t>
                  </w:r>
                </w:p>
              </w:tc>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Continuamente durante el ensayo de aptitud.</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Mejor Práctica de Laboratorio</w:t>
                  </w:r>
                </w:p>
              </w:tc>
            </w:tr>
            <w:tr>
              <w:trPr/>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6. Homogeneidad del Gas de Ensayo</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Lecturas de concentración del gas de ensayo tomadas desde al menos 3 puertos diferentes del colector de distribución.</w:t>
                  </w:r>
                </w:p>
              </w:tc>
              <w:tc>
                <w:tcPr>
                  <w:tcW w:w="3577"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Antes del inicio del ensayo de aptitud.</w:t>
                  </w:r>
                </w:p>
              </w:tc>
              <w:tc>
                <w:tcPr>
                  <w:tcW w:w="3578"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Protocolo AQUILA / ISO 13528</w:t>
                  </w:r>
                </w:p>
              </w:tc>
            </w:tr>
          </w:tbl>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p>
            <w:pPr>
              <w:pStyle w:val="Heading2"/>
              <w:keepNext w:val="false"/>
              <w:keepLines w:val="false"/>
              <w:widowControl w:val="false"/>
              <w:numPr>
                <w:ilvl w:val="3"/>
                <w:numId w:val="1"/>
              </w:numPr>
              <w:spacing w:lineRule="auto" w:line="240" w:before="0" w:after="0"/>
              <w:ind w:hanging="648" w:start="1728"/>
              <w:rPr>
                <w:rFonts w:ascii="Arial" w:hAnsi="Arial" w:eastAsia="Arial" w:cs="Arial"/>
                <w:color w:val="1B1C1D"/>
                <w:sz w:val="22"/>
                <w:szCs w:val="22"/>
              </w:rPr>
            </w:pPr>
            <w:bookmarkStart w:id="9" w:name="_heading=h.ve19poht5bi"/>
            <w:bookmarkEnd w:id="9"/>
            <w:r>
              <w:rPr>
                <w:rFonts w:eastAsia="Arial" w:cs="Arial" w:ascii="Arial" w:hAnsi="Arial"/>
                <w:color w:val="1B1C1D"/>
                <w:sz w:val="22"/>
                <w:szCs w:val="22"/>
              </w:rPr>
              <w:t>Desviación Estándar para la Evaluación de la Aptitud (σpt)</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Se debe determinar si la incertidumbre del valor de referencia es lo suficientemente grande como para afectar la evaluación del desempeño, es decir se evalúa si u2(xpt​) es de una magnitud comparable o significativa en relación con σp2​. La norma ISO 13528 recomienda determinar si u(xpt​)&gt;0.3σp. De este resultado depende el uso de los diferentes criterios de desempeño (puntuación z o z’).</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La estimación de se hace mediante la ecuación</w:t>
            </w:r>
          </w:p>
          <w:tbl>
            <w:tblPr>
              <w:tblStyle w:val="Table8"/>
              <w:tblW w:w="5895" w:type="dxa"/>
              <w:jc w:val="center"/>
              <w:tblInd w:w="0" w:type="dxa"/>
              <w:tblLayout w:type="fixed"/>
              <w:tblCellMar>
                <w:top w:w="100" w:type="dxa"/>
                <w:start w:w="100" w:type="dxa"/>
                <w:bottom w:w="100" w:type="dxa"/>
                <w:end w:w="100" w:type="dxa"/>
              </w:tblCellMar>
              <w:tblLook w:val="0600"/>
            </w:tblPr>
            <w:tblGrid>
              <w:gridCol w:w="4740"/>
              <w:gridCol w:w="1155"/>
            </w:tblGrid>
            <w:tr>
              <w:trPr/>
              <w:tc>
                <w:tcPr>
                  <w:tcW w:w="4740" w:type="dxa"/>
                  <w:tcBorders/>
                  <w:shd w:fill="auto" w:val="clear"/>
                  <w:vAlign w:val="center"/>
                </w:tcPr>
                <w:p>
                  <w:pPr>
                    <w:pStyle w:val="normal1"/>
                    <w:widowControl w:val="false"/>
                    <w:spacing w:lineRule="auto" w:line="240" w:before="0" w:after="0"/>
                    <w:rPr>
                      <w:rFonts w:ascii="Arial" w:hAnsi="Arial" w:eastAsia="Arial" w:cs="Arial"/>
                      <w:color w:val="1B1C1D"/>
                      <w:sz w:val="22"/>
                      <w:szCs w:val="22"/>
                    </w:rPr>
                  </w:pPr>
                  <w:sdt>
                    <w:sdtPr>
                      <w:tag w:val="goog_rdk_5"/>
                      <w:id w:val="-1018622416"/>
                    </w:sdtPr>
                    <w:sdtContent>
                      <w:r>
                        <w:rPr>
                          <w:rFonts w:eastAsia="Arial Unicode MS" w:cs="Arial Unicode MS" w:ascii="Arial Unicode MS" w:hAnsi="Arial Unicode MS"/>
                          <w:color w:val="1B1C1D"/>
                          <w:sz w:val="22"/>
                          <w:szCs w:val="22"/>
                        </w:rPr>
                      </w:r>
                      <w:r>
                        <w:rPr>
                          <w:rFonts w:eastAsia="Arial Unicode MS" w:cs="Arial Unicode MS" w:ascii="Arial Unicode MS" w:hAnsi="Arial Unicode MS"/>
                          <w:color w:val="1B1C1D"/>
                          <w:sz w:val="22"/>
                          <w:szCs w:val="22"/>
                        </w:rPr>
                        <w:t>σpt​=(a⋅Xref​)+b</w:t>
                      </w:r>
                    </w:sdtContent>
                  </w:sdt>
                </w:p>
              </w:tc>
              <w:tc>
                <w:tcPr>
                  <w:tcW w:w="1155" w:type="dxa"/>
                  <w:tcBorders/>
                  <w:shd w:fill="auto" w:val="clear"/>
                  <w:vAlign w:val="center"/>
                </w:tcPr>
                <w:p>
                  <w:pPr>
                    <w:pStyle w:val="normal1"/>
                    <w:widowControl w:val="false"/>
                    <w:spacing w:lineRule="auto" w:line="240" w:before="0" w:after="0"/>
                    <w:jc w:val="center"/>
                    <w:rPr>
                      <w:rFonts w:ascii="Arial" w:hAnsi="Arial" w:eastAsia="Arial" w:cs="Arial"/>
                      <w:color w:val="1B1C1D"/>
                      <w:sz w:val="22"/>
                      <w:szCs w:val="22"/>
                    </w:rPr>
                  </w:pPr>
                  <w:r>
                    <w:rPr>
                      <w:rFonts w:eastAsia="Arial" w:cs="Arial" w:ascii="Arial" w:hAnsi="Arial"/>
                      <w:color w:val="1B1C1D"/>
                      <w:sz w:val="22"/>
                      <w:szCs w:val="22"/>
                    </w:rPr>
                    <w:t>Ec 4</w:t>
                  </w:r>
                </w:p>
              </w:tc>
            </w:tr>
          </w:tbl>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Donde:</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σpt es la desviación estándar para la evaluación de la aptitud.</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a es la pendiente.</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Xref  es el valor de referencia o valor asignado.</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b es el intercepto</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tbl>
            <w:tblPr>
              <w:tblStyle w:val="Table9"/>
              <w:tblW w:w="9300" w:type="dxa"/>
              <w:jc w:val="center"/>
              <w:tblInd w:w="0" w:type="dxa"/>
              <w:tblLayout w:type="fixed"/>
              <w:tblCellMar>
                <w:top w:w="120" w:type="dxa"/>
                <w:start w:w="180" w:type="dxa"/>
                <w:bottom w:w="120" w:type="dxa"/>
                <w:end w:w="180" w:type="dxa"/>
              </w:tblCellMar>
              <w:tblLook w:val="0600"/>
            </w:tblPr>
            <w:tblGrid>
              <w:gridCol w:w="2339"/>
              <w:gridCol w:w="2340"/>
              <w:gridCol w:w="4621"/>
            </w:tblGrid>
            <w:tr>
              <w:trPr>
                <w:trHeight w:val="315" w:hRule="atLeast"/>
              </w:trPr>
              <w:tc>
                <w:tcPr>
                  <w:tcW w:w="9300" w:type="dxa"/>
                  <w:gridSpan w:val="3"/>
                  <w:tcBorders>
                    <w:top w:val="single" w:sz="6" w:space="0" w:color="000000"/>
                    <w:start w:val="single" w:sz="6" w:space="0" w:color="000000"/>
                    <w:bottom w:val="single" w:sz="8" w:space="0" w:color="000000"/>
                    <w:end w:val="single" w:sz="6" w:space="0" w:color="000000"/>
                  </w:tcBorders>
                </w:tcPr>
                <w:p>
                  <w:pPr>
                    <w:pStyle w:val="normal1"/>
                    <w:widowControl w:val="false"/>
                    <w:spacing w:lineRule="auto" w:line="240" w:before="0" w:after="0"/>
                    <w:rPr>
                      <w:rFonts w:ascii="Arial" w:hAnsi="Arial" w:eastAsia="Arial" w:cs="Arial"/>
                      <w:b/>
                      <w:color w:val="1B1C1D"/>
                      <w:sz w:val="22"/>
                      <w:szCs w:val="22"/>
                    </w:rPr>
                  </w:pPr>
                  <w:r>
                    <w:rPr>
                      <w:rFonts w:eastAsia="Arial" w:cs="Arial" w:ascii="Arial" w:hAnsi="Arial"/>
                      <w:b/>
                      <w:color w:val="1B1C1D"/>
                      <w:sz w:val="22"/>
                      <w:szCs w:val="22"/>
                    </w:rPr>
                    <w:t xml:space="preserve">Tabla 3. Parámetros tabulados para la determinación de la incertidumbre </w:t>
                  </w:r>
                </w:p>
              </w:tc>
            </w:tr>
            <w:tr>
              <w:trPr>
                <w:trHeight w:val="315" w:hRule="atLeast"/>
              </w:trPr>
              <w:tc>
                <w:tcPr>
                  <w:tcW w:w="2339" w:type="dxa"/>
                  <w:tcBorders>
                    <w:top w:val="single" w:sz="8" w:space="0" w:color="000000"/>
                    <w:start w:val="single" w:sz="8" w:space="0" w:color="000000"/>
                    <w:bottom w:val="single" w:sz="8" w:space="0" w:color="000000"/>
                    <w:end w:val="single" w:sz="8" w:space="0" w:color="000000"/>
                  </w:tcBorders>
                  <w:tcMar>
                    <w:top w:w="40" w:type="dxa"/>
                    <w:start w:w="40" w:type="dxa"/>
                    <w:bottom w:w="40" w:type="dxa"/>
                    <w:end w:w="40" w:type="dxa"/>
                  </w:tcMar>
                  <w:vAlign w:val="bottom"/>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tc>
              <w:tc>
                <w:tcPr>
                  <w:tcW w:w="2340" w:type="dxa"/>
                  <w:tcBorders>
                    <w:top w:val="single" w:sz="8" w:space="0" w:color="000000"/>
                    <w:start w:val="single" w:sz="8" w:space="0" w:color="000000"/>
                    <w:bottom w:val="single" w:sz="8" w:space="0" w:color="000000"/>
                    <w:end w:val="single" w:sz="8" w:space="0" w:color="000000"/>
                  </w:tcBorders>
                  <w:tcMar>
                    <w:top w:w="40" w:type="dxa"/>
                    <w:start w:w="40" w:type="dxa"/>
                    <w:bottom w:w="40" w:type="dxa"/>
                    <w:end w:w="40" w:type="dxa"/>
                  </w:tcMar>
                  <w:vAlign w:val="bottom"/>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Pendiente</w:t>
                  </w:r>
                </w:p>
              </w:tc>
              <w:tc>
                <w:tcPr>
                  <w:tcW w:w="4621" w:type="dxa"/>
                  <w:tcBorders>
                    <w:top w:val="single" w:sz="8" w:space="0" w:color="000000"/>
                    <w:start w:val="single" w:sz="8" w:space="0" w:color="000000"/>
                    <w:bottom w:val="single" w:sz="8" w:space="0" w:color="000000"/>
                    <w:end w:val="single" w:sz="8" w:space="0" w:color="000000"/>
                  </w:tcBorders>
                  <w:tcMar>
                    <w:top w:w="40" w:type="dxa"/>
                    <w:start w:w="40" w:type="dxa"/>
                    <w:bottom w:w="40" w:type="dxa"/>
                    <w:end w:w="40" w:type="dxa"/>
                  </w:tcMar>
                  <w:vAlign w:val="bottom"/>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Intercepto</w:t>
                  </w:r>
                </w:p>
              </w:tc>
            </w:tr>
            <w:tr>
              <w:trPr>
                <w:trHeight w:val="315" w:hRule="atLeast"/>
              </w:trPr>
              <w:tc>
                <w:tcPr>
                  <w:tcW w:w="2339" w:type="dxa"/>
                  <w:tcBorders>
                    <w:top w:val="single" w:sz="8" w:space="0" w:color="000000"/>
                    <w:start w:val="single" w:sz="8" w:space="0" w:color="000000"/>
                    <w:bottom w:val="single" w:sz="8" w:space="0" w:color="000000"/>
                    <w:end w:val="single" w:sz="8" w:space="0" w:color="000000"/>
                  </w:tcBorders>
                  <w:tcMar>
                    <w:top w:w="40" w:type="dxa"/>
                    <w:start w:w="40" w:type="dxa"/>
                    <w:bottom w:w="40" w:type="dxa"/>
                    <w:end w:w="40" w:type="dxa"/>
                  </w:tcMar>
                  <w:vAlign w:val="bottom"/>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Gas</w:t>
                  </w:r>
                </w:p>
              </w:tc>
              <w:tc>
                <w:tcPr>
                  <w:tcW w:w="2340" w:type="dxa"/>
                  <w:tcBorders>
                    <w:top w:val="single" w:sz="8" w:space="0" w:color="000000"/>
                    <w:start w:val="single" w:sz="8" w:space="0" w:color="000000"/>
                    <w:bottom w:val="single" w:sz="8" w:space="0" w:color="000000"/>
                    <w:end w:val="single" w:sz="8" w:space="0" w:color="000000"/>
                  </w:tcBorders>
                  <w:tcMar>
                    <w:top w:w="40" w:type="dxa"/>
                    <w:start w:w="40" w:type="dxa"/>
                    <w:bottom w:w="40" w:type="dxa"/>
                    <w:end w:w="40" w:type="dxa"/>
                  </w:tcMar>
                  <w:vAlign w:val="bottom"/>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a</w:t>
                  </w:r>
                </w:p>
              </w:tc>
              <w:tc>
                <w:tcPr>
                  <w:tcW w:w="4621" w:type="dxa"/>
                  <w:tcBorders>
                    <w:top w:val="single" w:sz="8" w:space="0" w:color="000000"/>
                    <w:start w:val="single" w:sz="8" w:space="0" w:color="000000"/>
                    <w:bottom w:val="single" w:sz="8" w:space="0" w:color="000000"/>
                    <w:end w:val="single" w:sz="8" w:space="0" w:color="000000"/>
                  </w:tcBorders>
                  <w:tcMar>
                    <w:top w:w="40" w:type="dxa"/>
                    <w:start w:w="40" w:type="dxa"/>
                    <w:bottom w:w="40" w:type="dxa"/>
                    <w:end w:w="40" w:type="dxa"/>
                  </w:tcMar>
                  <w:vAlign w:val="bottom"/>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b (nmol/mol)</w:t>
                  </w:r>
                </w:p>
              </w:tc>
            </w:tr>
            <w:tr>
              <w:trPr>
                <w:trHeight w:val="315" w:hRule="atLeast"/>
              </w:trPr>
              <w:tc>
                <w:tcPr>
                  <w:tcW w:w="2339" w:type="dxa"/>
                  <w:tcBorders>
                    <w:top w:val="single" w:sz="8" w:space="0" w:color="000000"/>
                    <w:start w:val="single" w:sz="8" w:space="0" w:color="000000"/>
                    <w:bottom w:val="single" w:sz="8" w:space="0" w:color="000000"/>
                    <w:end w:val="single" w:sz="8" w:space="0" w:color="000000"/>
                  </w:tcBorders>
                  <w:tcMar>
                    <w:top w:w="40" w:type="dxa"/>
                    <w:start w:w="40" w:type="dxa"/>
                    <w:bottom w:w="40" w:type="dxa"/>
                    <w:end w:w="40" w:type="dxa"/>
                  </w:tcMar>
                  <w:vAlign w:val="bottom"/>
                </w:tcPr>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t>CO</w:t>
                  </w:r>
                </w:p>
              </w:tc>
              <w:tc>
                <w:tcPr>
                  <w:tcW w:w="2340" w:type="dxa"/>
                  <w:tcBorders>
                    <w:top w:val="single" w:sz="8" w:space="0" w:color="000000"/>
                    <w:start w:val="single" w:sz="8" w:space="0" w:color="000000"/>
                    <w:bottom w:val="single" w:sz="8" w:space="0" w:color="000000"/>
                    <w:end w:val="single" w:sz="8" w:space="0" w:color="000000"/>
                  </w:tcBorders>
                  <w:tcMar>
                    <w:top w:w="40" w:type="dxa"/>
                    <w:start w:w="40" w:type="dxa"/>
                    <w:bottom w:w="40" w:type="dxa"/>
                    <w:end w:w="40" w:type="dxa"/>
                  </w:tcMar>
                  <w:vAlign w:val="bottom"/>
                </w:tcPr>
                <w:p>
                  <w:pPr>
                    <w:pStyle w:val="normal1"/>
                    <w:widowControl w:val="false"/>
                    <w:spacing w:lineRule="auto" w:line="240"/>
                    <w:jc w:val="end"/>
                    <w:rPr>
                      <w:rFonts w:ascii="Arial" w:hAnsi="Arial" w:eastAsia="Arial" w:cs="Arial"/>
                      <w:color w:val="1B1C1D"/>
                      <w:sz w:val="22"/>
                      <w:szCs w:val="22"/>
                    </w:rPr>
                  </w:pPr>
                  <w:r>
                    <w:rPr>
                      <w:rFonts w:eastAsia="Arial" w:cs="Arial" w:ascii="Arial" w:hAnsi="Arial"/>
                      <w:color w:val="1B1C1D"/>
                      <w:sz w:val="22"/>
                      <w:szCs w:val="22"/>
                    </w:rPr>
                    <w:t>|</w:t>
                  </w:r>
                </w:p>
              </w:tc>
              <w:tc>
                <w:tcPr>
                  <w:tcW w:w="4621" w:type="dxa"/>
                  <w:tcBorders>
                    <w:top w:val="single" w:sz="8" w:space="0" w:color="000000"/>
                    <w:start w:val="single" w:sz="8" w:space="0" w:color="000000"/>
                    <w:bottom w:val="single" w:sz="8" w:space="0" w:color="000000"/>
                    <w:end w:val="single" w:sz="8" w:space="0" w:color="000000"/>
                  </w:tcBorders>
                  <w:tcMar>
                    <w:top w:w="40" w:type="dxa"/>
                    <w:start w:w="40" w:type="dxa"/>
                    <w:bottom w:w="40" w:type="dxa"/>
                    <w:end w:w="40" w:type="dxa"/>
                  </w:tcMar>
                  <w:vAlign w:val="bottom"/>
                </w:tcPr>
                <w:p>
                  <w:pPr>
                    <w:pStyle w:val="normal1"/>
                    <w:widowControl w:val="false"/>
                    <w:spacing w:lineRule="auto" w:line="240"/>
                    <w:jc w:val="end"/>
                    <w:rPr>
                      <w:rFonts w:ascii="Arial" w:hAnsi="Arial" w:eastAsia="Arial" w:cs="Arial"/>
                      <w:color w:val="1B1C1D"/>
                      <w:sz w:val="22"/>
                      <w:szCs w:val="22"/>
                    </w:rPr>
                  </w:pPr>
                  <w:r>
                    <w:rPr>
                      <w:rFonts w:eastAsia="Arial" w:cs="Arial" w:ascii="Arial" w:hAnsi="Arial"/>
                      <w:color w:val="1B1C1D"/>
                      <w:sz w:val="22"/>
                      <w:szCs w:val="22"/>
                    </w:rPr>
                    <w:t>100</w:t>
                  </w:r>
                </w:p>
              </w:tc>
            </w:tr>
          </w:tbl>
          <w:p>
            <w:pPr>
              <w:pStyle w:val="Heading2"/>
              <w:keepNext w:val="false"/>
              <w:keepLines w:val="false"/>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bookmarkStart w:id="10" w:name="_heading=h.5d3mnus0gavw"/>
            <w:bookmarkEnd w:id="10"/>
          </w:p>
          <w:p>
            <w:pPr>
              <w:pStyle w:val="normal1"/>
              <w:spacing w:lineRule="auto" w:line="240"/>
              <w:rPr/>
            </w:pPr>
            <w:r>
              <w:rPr/>
            </w:r>
          </w:p>
          <w:p>
            <w:pPr>
              <w:pStyle w:val="Heading2"/>
              <w:keepNext w:val="false"/>
              <w:keepLines w:val="false"/>
              <w:widowControl w:val="false"/>
              <w:numPr>
                <w:ilvl w:val="3"/>
                <w:numId w:val="1"/>
              </w:numPr>
              <w:spacing w:lineRule="auto" w:line="240" w:before="0" w:after="0"/>
              <w:ind w:hanging="648" w:start="1728"/>
              <w:rPr>
                <w:rFonts w:ascii="Arial" w:hAnsi="Arial" w:eastAsia="Arial" w:cs="Arial"/>
                <w:color w:val="1B1C1D"/>
                <w:sz w:val="22"/>
                <w:szCs w:val="22"/>
              </w:rPr>
            </w:pPr>
            <w:bookmarkStart w:id="11" w:name="_heading=h.9l5cgbbbzpl0"/>
            <w:bookmarkEnd w:id="11"/>
            <w:r>
              <w:rPr>
                <w:rFonts w:eastAsia="Arial" w:cs="Arial" w:ascii="Arial" w:hAnsi="Arial"/>
                <w:color w:val="1B1C1D"/>
                <w:sz w:val="22"/>
                <w:szCs w:val="22"/>
              </w:rPr>
              <w:t>Criterios de Desempeño y Parámetros de Evaluación Interna</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 xml:space="preserve">La evaluación se basa en el cálculo del </w:t>
            </w:r>
            <w:r>
              <w:rPr>
                <w:rFonts w:eastAsia="Arial" w:cs="Arial" w:ascii="Arial" w:hAnsi="Arial"/>
                <w:i/>
                <w:color w:val="1B1C1D"/>
                <w:sz w:val="22"/>
                <w:szCs w:val="22"/>
              </w:rPr>
              <w:t>z-score o del z'-score</w:t>
            </w:r>
            <w:r>
              <w:rPr>
                <w:rFonts w:eastAsia="Arial" w:cs="Arial" w:ascii="Arial" w:hAnsi="Arial"/>
                <w:color w:val="1B1C1D"/>
                <w:sz w:val="22"/>
                <w:szCs w:val="22"/>
              </w:rPr>
              <w:t xml:space="preserve">, dado que la incertidumbre del valor asignado puede ser significativa, así como el </w:t>
            </w:r>
            <w:r>
              <w:rPr>
                <w:rFonts w:eastAsia="Arial" w:cs="Arial" w:ascii="Arial" w:hAnsi="Arial"/>
                <w:i/>
                <w:color w:val="1B1C1D"/>
                <w:sz w:val="22"/>
                <w:szCs w:val="22"/>
              </w:rPr>
              <w:t>En-score</w:t>
            </w:r>
            <w:r>
              <w:rPr>
                <w:rFonts w:eastAsia="Arial" w:cs="Arial" w:ascii="Arial" w:hAnsi="Arial"/>
                <w:color w:val="1B1C1D"/>
                <w:sz w:val="22"/>
                <w:szCs w:val="22"/>
              </w:rPr>
              <w:t>.</w:t>
            </w:r>
          </w:p>
          <w:tbl>
            <w:tblPr>
              <w:tblStyle w:val="Table10"/>
              <w:tblW w:w="5895" w:type="dxa"/>
              <w:jc w:val="center"/>
              <w:tblInd w:w="0" w:type="dxa"/>
              <w:tblLayout w:type="fixed"/>
              <w:tblCellMar>
                <w:top w:w="100" w:type="dxa"/>
                <w:start w:w="100" w:type="dxa"/>
                <w:bottom w:w="100" w:type="dxa"/>
                <w:end w:w="100" w:type="dxa"/>
              </w:tblCellMar>
              <w:tblLook w:val="0600"/>
            </w:tblPr>
            <w:tblGrid>
              <w:gridCol w:w="4740"/>
              <w:gridCol w:w="1155"/>
            </w:tblGrid>
            <w:tr>
              <w:trPr>
                <w:trHeight w:val="781" w:hRule="atLeast"/>
              </w:trPr>
              <w:tc>
                <w:tcPr>
                  <w:tcW w:w="4740" w:type="dxa"/>
                  <w:tcBorders/>
                  <w:shd w:fill="auto" w:val="clear"/>
                  <w:vAlign w:val="center"/>
                </w:tcPr>
                <w:sdt>
                  <w:sdtPr>
                    <w:tag w:val="goog_rdk_7"/>
                    <w:id w:val="608113032"/>
                    <w:lock w:val="contentLocked"/>
                  </w:sdtPr>
                  <w:sdtContent>
                    <w:p>
                      <w:pPr>
                        <w:pStyle w:val="normal1"/>
                        <w:widowControl w:val="false"/>
                        <w:spacing w:lineRule="auto" w:line="240" w:before="0" w:after="0"/>
                        <w:jc w:val="center"/>
                        <w:rPr>
                          <w:rFonts w:ascii="Arial" w:hAnsi="Arial" w:eastAsia="Arial" w:cs="Arial"/>
                          <w:color w:val="1B1C1D"/>
                          <w:sz w:val="22"/>
                          <w:szCs w:val="22"/>
                        </w:rPr>
                      </w:pPr>
                      <w:r>
                        <w:rPr/>
                        <w:drawing>
                          <wp:inline distT="0" distB="0" distL="0" distR="0">
                            <wp:extent cx="1304925" cy="79057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rcRect l="0" t="0" r="60174" b="0"/>
                                    <a:stretch>
                                      <a:fillRect/>
                                    </a:stretch>
                                  </pic:blipFill>
                                  <pic:spPr bwMode="auto">
                                    <a:xfrm>
                                      <a:off x="0" y="0"/>
                                      <a:ext cx="1304925" cy="790575"/>
                                    </a:xfrm>
                                    <a:prstGeom prst="rect">
                                      <a:avLst/>
                                    </a:prstGeom>
                                    <a:noFill/>
                                  </pic:spPr>
                                </pic:pic>
                              </a:graphicData>
                            </a:graphic>
                          </wp:inline>
                        </w:drawing>
                      </w:r>
                    </w:p>
                  </w:sdtContent>
                </w:sdt>
              </w:tc>
              <w:tc>
                <w:tcPr>
                  <w:tcW w:w="1155" w:type="dxa"/>
                  <w:tcBorders/>
                  <w:shd w:fill="auto" w:val="clear"/>
                  <w:vAlign w:val="center"/>
                </w:tcPr>
                <w:p>
                  <w:pPr>
                    <w:pStyle w:val="normal1"/>
                    <w:widowControl w:val="false"/>
                    <w:spacing w:lineRule="auto" w:line="240" w:before="0" w:after="0"/>
                    <w:jc w:val="center"/>
                    <w:rPr>
                      <w:rFonts w:ascii="Arial" w:hAnsi="Arial" w:eastAsia="Arial" w:cs="Arial"/>
                      <w:color w:val="1B1C1D"/>
                      <w:sz w:val="22"/>
                      <w:szCs w:val="22"/>
                    </w:rPr>
                  </w:pPr>
                  <w:r>
                    <w:rPr>
                      <w:rFonts w:eastAsia="Arial" w:cs="Arial" w:ascii="Arial" w:hAnsi="Arial"/>
                      <w:color w:val="1B1C1D"/>
                      <w:sz w:val="22"/>
                      <w:szCs w:val="22"/>
                    </w:rPr>
                    <w:t>Ec 5</w:t>
                  </w:r>
                </w:p>
              </w:tc>
            </w:tr>
            <w:tr>
              <w:trPr/>
              <w:tc>
                <w:tcPr>
                  <w:tcW w:w="4740" w:type="dxa"/>
                  <w:tcBorders/>
                  <w:shd w:fill="auto" w:val="clear"/>
                  <w:vAlign w:val="center"/>
                </w:tcPr>
                <w:p>
                  <w:pPr>
                    <w:pStyle w:val="normal1"/>
                    <w:widowControl w:val="false"/>
                    <w:spacing w:lineRule="auto" w:line="240" w:before="0" w:after="0"/>
                    <w:jc w:val="center"/>
                    <w:rPr>
                      <w:rFonts w:ascii="Arial" w:hAnsi="Arial" w:eastAsia="Arial" w:cs="Arial"/>
                      <w:color w:val="1B1C1D"/>
                      <w:sz w:val="22"/>
                      <w:szCs w:val="22"/>
                    </w:rPr>
                  </w:pPr>
                  <w:r>
                    <w:rPr/>
                    <w:drawing>
                      <wp:inline distT="0" distB="0" distL="0" distR="0">
                        <wp:extent cx="1838325" cy="847725"/>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1838325" cy="847725"/>
                                </a:xfrm>
                                <a:prstGeom prst="rect">
                                  <a:avLst/>
                                </a:prstGeom>
                                <a:noFill/>
                              </pic:spPr>
                            </pic:pic>
                          </a:graphicData>
                        </a:graphic>
                      </wp:inline>
                    </w:drawing>
                  </w:r>
                </w:p>
              </w:tc>
              <w:tc>
                <w:tcPr>
                  <w:tcW w:w="1155" w:type="dxa"/>
                  <w:tcBorders/>
                  <w:shd w:fill="auto" w:val="clear"/>
                  <w:vAlign w:val="center"/>
                </w:tcPr>
                <w:p>
                  <w:pPr>
                    <w:pStyle w:val="normal1"/>
                    <w:widowControl w:val="false"/>
                    <w:spacing w:lineRule="auto" w:line="240" w:before="0" w:after="0"/>
                    <w:jc w:val="center"/>
                    <w:rPr>
                      <w:rFonts w:ascii="Arial" w:hAnsi="Arial" w:eastAsia="Arial" w:cs="Arial"/>
                      <w:color w:val="1B1C1D"/>
                      <w:sz w:val="22"/>
                      <w:szCs w:val="22"/>
                    </w:rPr>
                  </w:pPr>
                  <w:r>
                    <w:rPr>
                      <w:rFonts w:eastAsia="Arial" w:cs="Arial" w:ascii="Arial" w:hAnsi="Arial"/>
                      <w:color w:val="1B1C1D"/>
                      <w:sz w:val="22"/>
                      <w:szCs w:val="22"/>
                    </w:rPr>
                    <w:t>Ec 6</w:t>
                  </w:r>
                </w:p>
              </w:tc>
            </w:tr>
          </w:tbl>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tbl>
            <w:tblPr>
              <w:tblStyle w:val="Table11"/>
              <w:tblW w:w="5895" w:type="dxa"/>
              <w:jc w:val="center"/>
              <w:tblInd w:w="0" w:type="dxa"/>
              <w:tblLayout w:type="fixed"/>
              <w:tblCellMar>
                <w:top w:w="100" w:type="dxa"/>
                <w:start w:w="100" w:type="dxa"/>
                <w:bottom w:w="100" w:type="dxa"/>
                <w:end w:w="100" w:type="dxa"/>
              </w:tblCellMar>
              <w:tblLook w:val="0600"/>
            </w:tblPr>
            <w:tblGrid>
              <w:gridCol w:w="4740"/>
              <w:gridCol w:w="1155"/>
            </w:tblGrid>
            <w:tr>
              <w:trPr/>
              <w:tc>
                <w:tcPr>
                  <w:tcW w:w="4740" w:type="dxa"/>
                  <w:tcBorders/>
                  <w:shd w:fill="auto" w:val="clear"/>
                  <w:vAlign w:val="center"/>
                </w:tcPr>
                <w:sdt>
                  <w:sdtPr>
                    <w:tag w:val="goog_rdk_8"/>
                    <w:id w:val="-329840102"/>
                    <w:lock w:val="contentLocked"/>
                  </w:sdtPr>
                  <w:sdtContent>
                    <w:p>
                      <w:pPr>
                        <w:pStyle w:val="normal1"/>
                        <w:widowControl w:val="false"/>
                        <w:spacing w:lineRule="auto" w:line="240" w:before="0" w:after="0"/>
                        <w:jc w:val="center"/>
                        <w:rPr>
                          <w:rFonts w:ascii="Arial" w:hAnsi="Arial" w:eastAsia="Arial" w:cs="Arial"/>
                          <w:color w:val="1B1C1D"/>
                          <w:sz w:val="22"/>
                          <w:szCs w:val="22"/>
                        </w:rPr>
                      </w:pPr>
                      <w:r>
                        <w:rPr/>
                        <w:drawing>
                          <wp:inline distT="0" distB="0" distL="0" distR="0">
                            <wp:extent cx="2204085" cy="899795"/>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noChangeArrowheads="1"/>
                                    </pic:cNvPicPr>
                                  </pic:nvPicPr>
                                  <pic:blipFill>
                                    <a:blip r:embed="rId4"/>
                                    <a:stretch>
                                      <a:fillRect/>
                                    </a:stretch>
                                  </pic:blipFill>
                                  <pic:spPr bwMode="auto">
                                    <a:xfrm>
                                      <a:off x="0" y="0"/>
                                      <a:ext cx="2204085" cy="899795"/>
                                    </a:xfrm>
                                    <a:prstGeom prst="rect">
                                      <a:avLst/>
                                    </a:prstGeom>
                                    <a:noFill/>
                                  </pic:spPr>
                                </pic:pic>
                              </a:graphicData>
                            </a:graphic>
                          </wp:inline>
                        </w:drawing>
                      </w:r>
                    </w:p>
                  </w:sdtContent>
                </w:sdt>
              </w:tc>
              <w:tc>
                <w:tcPr>
                  <w:tcW w:w="1155" w:type="dxa"/>
                  <w:tcBorders/>
                  <w:shd w:fill="auto" w:val="clear"/>
                  <w:vAlign w:val="center"/>
                </w:tcPr>
                <w:p>
                  <w:pPr>
                    <w:pStyle w:val="normal1"/>
                    <w:widowControl w:val="false"/>
                    <w:spacing w:lineRule="auto" w:line="240" w:before="0" w:after="0"/>
                    <w:jc w:val="center"/>
                    <w:rPr>
                      <w:rFonts w:ascii="Arial" w:hAnsi="Arial" w:eastAsia="Arial" w:cs="Arial"/>
                      <w:color w:val="1B1C1D"/>
                      <w:sz w:val="22"/>
                      <w:szCs w:val="22"/>
                    </w:rPr>
                  </w:pPr>
                  <w:r>
                    <w:rPr>
                      <w:rFonts w:eastAsia="Arial" w:cs="Arial" w:ascii="Arial" w:hAnsi="Arial"/>
                      <w:color w:val="1B1C1D"/>
                      <w:sz w:val="22"/>
                      <w:szCs w:val="22"/>
                    </w:rPr>
                    <w:t>Ec 7</w:t>
                  </w:r>
                </w:p>
              </w:tc>
            </w:tr>
          </w:tbl>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En la siguiente tabla se resumen los criterios de aceptación de los indicadores de rendimiento</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tbl>
            <w:tblPr>
              <w:tblStyle w:val="Table12"/>
              <w:tblW w:w="14115" w:type="dxa"/>
              <w:jc w:val="start"/>
              <w:tblInd w:w="0" w:type="dxa"/>
              <w:tblLayout w:type="fixed"/>
              <w:tblCellMar>
                <w:top w:w="40" w:type="dxa"/>
                <w:start w:w="40" w:type="dxa"/>
                <w:bottom w:w="40" w:type="dxa"/>
                <w:end w:w="40" w:type="dxa"/>
              </w:tblCellMar>
              <w:tblLook w:val="0600"/>
            </w:tblPr>
            <w:tblGrid>
              <w:gridCol w:w="1500"/>
              <w:gridCol w:w="1499"/>
              <w:gridCol w:w="11116"/>
            </w:tblGrid>
            <w:tr>
              <w:trPr>
                <w:trHeight w:val="540" w:hRule="atLeast"/>
              </w:trPr>
              <w:tc>
                <w:tcPr>
                  <w:tcW w:w="14115" w:type="dxa"/>
                  <w:gridSpan w:val="3"/>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b/>
                      <w:sz w:val="22"/>
                      <w:szCs w:val="22"/>
                    </w:rPr>
                  </w:pPr>
                  <w:r>
                    <w:rPr>
                      <w:rFonts w:eastAsia="Arial" w:cs="Arial" w:ascii="Arial" w:hAnsi="Arial"/>
                      <w:b/>
                      <w:sz w:val="22"/>
                      <w:szCs w:val="22"/>
                    </w:rPr>
                    <w:t>Tabla 4. Criterios de evaluación para los indicadores de desempeño del EA</w:t>
                  </w:r>
                </w:p>
              </w:tc>
            </w:tr>
            <w:tr>
              <w:trPr>
                <w:trHeight w:val="540" w:hRule="atLeast"/>
              </w:trPr>
              <w:tc>
                <w:tcPr>
                  <w:tcW w:w="1500" w:type="dxa"/>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t>Indicador de Rendimiento</w:t>
                  </w:r>
                </w:p>
              </w:tc>
              <w:tc>
                <w:tcPr>
                  <w:tcW w:w="1499" w:type="dxa"/>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t>Criterio de Evaluación</w:t>
                  </w:r>
                </w:p>
              </w:tc>
              <w:tc>
                <w:tcPr>
                  <w:tcW w:w="11116" w:type="dxa"/>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t>Interpretación</w:t>
                  </w:r>
                </w:p>
              </w:tc>
            </w:tr>
            <w:tr>
              <w:trPr>
                <w:trHeight w:val="315" w:hRule="atLeast"/>
              </w:trPr>
              <w:tc>
                <w:tcPr>
                  <w:tcW w:w="1500" w:type="dxa"/>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t>z/z'-score</w:t>
                  </w:r>
                </w:p>
              </w:tc>
              <w:tc>
                <w:tcPr>
                  <w:tcW w:w="1499" w:type="dxa"/>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sz w:val="22"/>
                      <w:szCs w:val="22"/>
                    </w:rPr>
                  </w:pPr>
                  <w:sdt>
                    <w:sdtPr>
                      <w:tag w:val="goog_rdk_9"/>
                      <w:id w:val="698445335"/>
                    </w:sdtPr>
                    <w:sdtContent>
                      <w:r>
                        <w:rPr>
                          <w:rFonts w:eastAsia="Arial Unicode MS" w:cs="Arial Unicode MS" w:ascii="Arial Unicode MS" w:hAnsi="Arial Unicode MS"/>
                          <w:sz w:val="22"/>
                          <w:szCs w:val="22"/>
                        </w:rPr>
                      </w:r>
                      <w:r>
                        <w:rPr>
                          <w:rFonts w:eastAsia="Arial Unicode MS" w:cs="Arial Unicode MS" w:ascii="Arial Unicode MS" w:hAnsi="Arial Unicode MS"/>
                          <w:sz w:val="22"/>
                          <w:szCs w:val="22"/>
                        </w:rPr>
                        <w:t>|z/z'| ≤ 2</w:t>
                      </w:r>
                    </w:sdtContent>
                  </w:sdt>
                </w:p>
              </w:tc>
              <w:tc>
                <w:tcPr>
                  <w:tcW w:w="11116" w:type="dxa"/>
                  <w:tcBorders>
                    <w:top w:val="single" w:sz="8" w:space="0" w:color="000000"/>
                    <w:start w:val="single" w:sz="8" w:space="0" w:color="000000"/>
                    <w:bottom w:val="single" w:sz="8" w:space="0" w:color="000000"/>
                    <w:end w:val="single" w:sz="8" w:space="0" w:color="000000"/>
                  </w:tcBorders>
                  <w:tcMar>
                    <w:start w:w="0" w:type="dxa"/>
                    <w:end w:w="0" w:type="dxa"/>
                  </w:tcMar>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t>Se considera satisfactorio. Aproximadamente el 95% de los z-scores deberían caer entre -2 y +2.</w:t>
                  </w:r>
                </w:p>
              </w:tc>
            </w:tr>
            <w:tr>
              <w:trPr>
                <w:trHeight w:val="315" w:hRule="atLeast"/>
              </w:trPr>
              <w:tc>
                <w:tcPr>
                  <w:tcW w:w="1500" w:type="dxa"/>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r>
                </w:p>
              </w:tc>
              <w:tc>
                <w:tcPr>
                  <w:tcW w:w="1499" w:type="dxa"/>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t>2 &lt; |z/z'| &lt; 3</w:t>
                  </w:r>
                </w:p>
              </w:tc>
              <w:tc>
                <w:tcPr>
                  <w:tcW w:w="11116" w:type="dxa"/>
                  <w:tcBorders>
                    <w:top w:val="single" w:sz="8" w:space="0" w:color="000000"/>
                    <w:start w:val="single" w:sz="8" w:space="0" w:color="000000"/>
                    <w:bottom w:val="single" w:sz="8" w:space="0" w:color="000000"/>
                    <w:end w:val="single" w:sz="8" w:space="0" w:color="000000"/>
                  </w:tcBorders>
                  <w:tcMar>
                    <w:start w:w="0" w:type="dxa"/>
                    <w:end w:w="0" w:type="dxa"/>
                  </w:tcMar>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t>Se considera cuestionable. Se espera que ocurran aproximadamente 1 de cada 20 veces. Estos valores merecen una revisión específica.</w:t>
                  </w:r>
                </w:p>
              </w:tc>
            </w:tr>
            <w:tr>
              <w:trPr>
                <w:trHeight w:val="315" w:hRule="atLeast"/>
              </w:trPr>
              <w:tc>
                <w:tcPr>
                  <w:tcW w:w="1500" w:type="dxa"/>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r>
                </w:p>
              </w:tc>
              <w:tc>
                <w:tcPr>
                  <w:tcW w:w="1499" w:type="dxa"/>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sz w:val="22"/>
                      <w:szCs w:val="22"/>
                    </w:rPr>
                  </w:pPr>
                  <w:sdt>
                    <w:sdtPr>
                      <w:tag w:val="goog_rdk_10"/>
                      <w:id w:val="-2139798330"/>
                    </w:sdtPr>
                    <w:sdtContent>
                      <w:r>
                        <w:rPr>
                          <w:rFonts w:eastAsia="Arial Unicode MS" w:cs="Arial Unicode MS" w:ascii="Arial Unicode MS" w:hAnsi="Arial Unicode MS"/>
                          <w:sz w:val="22"/>
                          <w:szCs w:val="22"/>
                        </w:rPr>
                      </w:r>
                      <w:r>
                        <w:rPr>
                          <w:rFonts w:eastAsia="Arial Unicode MS" w:cs="Arial Unicode MS" w:ascii="Arial Unicode MS" w:hAnsi="Arial Unicode MS"/>
                          <w:sz w:val="22"/>
                          <w:szCs w:val="22"/>
                        </w:rPr>
                        <w:t>|z/z'| ≥ 3</w:t>
                      </w:r>
                    </w:sdtContent>
                  </w:sdt>
                </w:p>
              </w:tc>
              <w:tc>
                <w:tcPr>
                  <w:tcW w:w="11116" w:type="dxa"/>
                  <w:tcBorders>
                    <w:top w:val="single" w:sz="8" w:space="0" w:color="000000"/>
                    <w:start w:val="single" w:sz="8" w:space="0" w:color="000000"/>
                    <w:bottom w:val="single" w:sz="8" w:space="0" w:color="000000"/>
                    <w:end w:val="single" w:sz="8" w:space="0" w:color="000000"/>
                  </w:tcBorders>
                  <w:tcMar>
                    <w:start w:w="0" w:type="dxa"/>
                    <w:end w:w="0" w:type="dxa"/>
                  </w:tcMar>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t>Se considera insatisfactorio. Los resultados en este rango son muy inusuales y se toman como evidencia de que ha ocurrido una anomalía que debe ser investigada y corregida.</w:t>
                  </w:r>
                </w:p>
              </w:tc>
            </w:tr>
            <w:tr>
              <w:trPr>
                <w:trHeight w:val="315" w:hRule="atLeast"/>
              </w:trPr>
              <w:tc>
                <w:tcPr>
                  <w:tcW w:w="1500" w:type="dxa"/>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t>En-score</w:t>
                  </w:r>
                </w:p>
              </w:tc>
              <w:tc>
                <w:tcPr>
                  <w:tcW w:w="1499" w:type="dxa"/>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t>|En-score| &lt; 1</w:t>
                  </w:r>
                </w:p>
              </w:tc>
              <w:tc>
                <w:tcPr>
                  <w:tcW w:w="11116" w:type="dxa"/>
                  <w:tcBorders>
                    <w:top w:val="single" w:sz="8" w:space="0" w:color="000000"/>
                    <w:start w:val="single" w:sz="8" w:space="0" w:color="000000"/>
                    <w:bottom w:val="single" w:sz="8" w:space="0" w:color="000000"/>
                    <w:end w:val="single" w:sz="8" w:space="0" w:color="000000"/>
                  </w:tcBorders>
                  <w:tcMar>
                    <w:start w:w="0" w:type="dxa"/>
                    <w:end w:w="0" w:type="dxa"/>
                  </w:tcMar>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t>Se considera satisfactorio. Los resultados son satisfactorios si las barras de error tocan o cruzan el eje x (o la línea roja que representa el valor de referencia en informes más recientes).</w:t>
                  </w:r>
                </w:p>
              </w:tc>
            </w:tr>
            <w:tr>
              <w:trPr>
                <w:trHeight w:val="315" w:hRule="atLeast"/>
              </w:trPr>
              <w:tc>
                <w:tcPr>
                  <w:tcW w:w="1500" w:type="dxa"/>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r>
                </w:p>
              </w:tc>
              <w:tc>
                <w:tcPr>
                  <w:tcW w:w="1499" w:type="dxa"/>
                  <w:tcBorders>
                    <w:top w:val="single" w:sz="8" w:space="0" w:color="000000"/>
                    <w:start w:val="single" w:sz="8" w:space="0" w:color="000000"/>
                    <w:bottom w:val="single" w:sz="8" w:space="0" w:color="000000"/>
                    <w:end w:val="single" w:sz="8" w:space="0" w:color="000000"/>
                  </w:tcBorders>
                  <w:vAlign w:val="bottom"/>
                </w:tcPr>
                <w:p>
                  <w:pPr>
                    <w:pStyle w:val="normal1"/>
                    <w:widowControl w:val="false"/>
                    <w:spacing w:lineRule="auto" w:line="240" w:before="0" w:after="0"/>
                    <w:rPr>
                      <w:rFonts w:ascii="Arial" w:hAnsi="Arial" w:eastAsia="Arial" w:cs="Arial"/>
                      <w:sz w:val="22"/>
                      <w:szCs w:val="22"/>
                    </w:rPr>
                  </w:pPr>
                  <w:sdt>
                    <w:sdtPr>
                      <w:tag w:val="goog_rdk_11"/>
                      <w:id w:val="-342130319"/>
                    </w:sdtPr>
                    <w:sdtContent>
                      <w:r>
                        <w:rPr>
                          <w:rFonts w:eastAsia="Arial Unicode MS" w:cs="Arial Unicode MS" w:ascii="Arial Unicode MS" w:hAnsi="Arial Unicode MS"/>
                          <w:sz w:val="22"/>
                          <w:szCs w:val="22"/>
                        </w:rPr>
                      </w:r>
                      <w:r>
                        <w:rPr>
                          <w:rFonts w:eastAsia="Arial Unicode MS" w:cs="Arial Unicode MS" w:ascii="Arial Unicode MS" w:hAnsi="Arial Unicode MS"/>
                          <w:sz w:val="22"/>
                          <w:szCs w:val="22"/>
                        </w:rPr>
                        <w:t>|En-score| ≥ 1</w:t>
                      </w:r>
                    </w:sdtContent>
                  </w:sdt>
                </w:p>
              </w:tc>
              <w:tc>
                <w:tcPr>
                  <w:tcW w:w="11116" w:type="dxa"/>
                  <w:tcBorders>
                    <w:top w:val="single" w:sz="8" w:space="0" w:color="000000"/>
                    <w:start w:val="single" w:sz="8" w:space="0" w:color="000000"/>
                    <w:bottom w:val="single" w:sz="8" w:space="0" w:color="000000"/>
                    <w:end w:val="single" w:sz="8" w:space="0" w:color="000000"/>
                  </w:tcBorders>
                  <w:tcMar>
                    <w:start w:w="0" w:type="dxa"/>
                    <w:end w:w="0" w:type="dxa"/>
                  </w:tcMar>
                  <w:vAlign w:val="bottom"/>
                </w:tcPr>
                <w:p>
                  <w:pPr>
                    <w:pStyle w:val="normal1"/>
                    <w:widowControl w:val="false"/>
                    <w:spacing w:lineRule="auto" w:line="240" w:before="0" w:after="0"/>
                    <w:rPr>
                      <w:rFonts w:ascii="Arial" w:hAnsi="Arial" w:eastAsia="Arial" w:cs="Arial"/>
                      <w:sz w:val="22"/>
                      <w:szCs w:val="22"/>
                    </w:rPr>
                  </w:pPr>
                  <w:r>
                    <w:rPr>
                      <w:rFonts w:eastAsia="Arial" w:cs="Arial" w:ascii="Arial" w:hAnsi="Arial"/>
                      <w:sz w:val="22"/>
                      <w:szCs w:val="22"/>
                    </w:rPr>
                    <w:t>Se considera insatisfactorio.</w:t>
                  </w:r>
                </w:p>
              </w:tc>
            </w:tr>
          </w:tbl>
          <w:p>
            <w:pPr>
              <w:pStyle w:val="Heading1"/>
              <w:keepNext w:val="false"/>
              <w:keepLines w:val="false"/>
              <w:widowControl w:val="false"/>
              <w:spacing w:lineRule="auto" w:line="240" w:before="0" w:after="0"/>
              <w:rPr>
                <w:rFonts w:ascii="Arial" w:hAnsi="Arial" w:eastAsia="Arial" w:cs="Arial"/>
                <w:b w:val="false"/>
                <w:color w:val="1B1C1D"/>
                <w:sz w:val="22"/>
                <w:szCs w:val="22"/>
              </w:rPr>
            </w:pPr>
            <w:r>
              <w:rPr>
                <w:rFonts w:eastAsia="Arial" w:cs="Arial" w:ascii="Arial" w:hAnsi="Arial"/>
                <w:b w:val="false"/>
                <w:color w:val="1B1C1D"/>
                <w:sz w:val="22"/>
                <w:szCs w:val="22"/>
              </w:rPr>
            </w:r>
            <w:bookmarkStart w:id="12" w:name="_heading=h.9cclhkpfnehv"/>
            <w:bookmarkEnd w:id="12"/>
          </w:p>
          <w:p>
            <w:pPr>
              <w:pStyle w:val="Heading2"/>
              <w:keepNext w:val="false"/>
              <w:keepLines w:val="false"/>
              <w:widowControl w:val="false"/>
              <w:numPr>
                <w:ilvl w:val="2"/>
                <w:numId w:val="1"/>
              </w:numPr>
              <w:spacing w:lineRule="auto" w:line="240" w:before="0" w:after="0"/>
              <w:ind w:hanging="504" w:start="1224"/>
              <w:rPr>
                <w:rFonts w:ascii="Arial" w:hAnsi="Arial" w:eastAsia="Arial" w:cs="Arial"/>
                <w:color w:val="1B1C1D"/>
                <w:sz w:val="22"/>
                <w:szCs w:val="22"/>
              </w:rPr>
            </w:pPr>
            <w:bookmarkStart w:id="13" w:name="_heading=h.2hvl1bgrhbkp"/>
            <w:bookmarkEnd w:id="13"/>
            <w:r>
              <w:rPr>
                <w:rFonts w:eastAsia="Arial" w:cs="Arial" w:ascii="Arial" w:hAnsi="Arial"/>
                <w:color w:val="1B1C1D"/>
                <w:sz w:val="22"/>
                <w:szCs w:val="22"/>
              </w:rPr>
              <w:t>Presentación Gráfica de Resultados</w:t>
            </w:r>
          </w:p>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t>Para el análisis de resultados, se usan gráficos de barras (z/z' para puntuaciones con límites satisfactorios/cuestionables/insatisfactorios), gráficos de sesgo y barras de error (puntuaciones En, satisfactorio si la barra de error cruza el eje x), y gráficos de repetibilidad/reproducibilidad (evalúan precisión y tendencias, comparando límites grupales con criterios de normas europeas).</w:t>
            </w:r>
          </w:p>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r>
          </w:p>
          <w:p>
            <w:pPr>
              <w:pStyle w:val="normal1"/>
              <w:widowControl w:val="false"/>
              <w:spacing w:lineRule="auto" w:line="240"/>
              <w:rPr>
                <w:rFonts w:ascii="Arial" w:hAnsi="Arial" w:eastAsia="Arial" w:cs="Arial"/>
                <w:color w:val="1B1C1D"/>
                <w:sz w:val="22"/>
                <w:szCs w:val="22"/>
              </w:rPr>
            </w:pPr>
            <w:r>
              <w:rPr>
                <w:rFonts w:eastAsia="Arial" w:cs="Arial" w:ascii="Arial" w:hAnsi="Arial"/>
                <w:color w:val="1B1C1D"/>
                <w:sz w:val="22"/>
                <w:szCs w:val="22"/>
              </w:rPr>
              <w:t>En la carga de datos, los participantes pueden cometer "blunders" como errores de tipeo, decimales, formato o asignación. Aunque los sistemas web son seguros, estos errores humanos persisten. Si se detectan, se contacta a los participantes para corregirlos antes del informe final.</w:t>
            </w:r>
          </w:p>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r>
          </w:p>
          <w:p>
            <w:pPr>
              <w:pStyle w:val="Heading2"/>
              <w:keepNext w:val="false"/>
              <w:keepLines w:val="false"/>
              <w:widowControl w:val="false"/>
              <w:numPr>
                <w:ilvl w:val="2"/>
                <w:numId w:val="1"/>
              </w:numPr>
              <w:spacing w:lineRule="auto" w:line="240" w:before="0" w:after="0"/>
              <w:ind w:hanging="504" w:start="1224"/>
              <w:rPr>
                <w:rFonts w:ascii="Arial" w:hAnsi="Arial" w:eastAsia="Arial" w:cs="Arial"/>
                <w:color w:val="1B1C1D"/>
                <w:sz w:val="22"/>
                <w:szCs w:val="22"/>
              </w:rPr>
            </w:pPr>
            <w:bookmarkStart w:id="14" w:name="_heading=h.72dwevqtpcoq"/>
            <w:bookmarkEnd w:id="14"/>
            <w:r>
              <w:rPr>
                <w:rFonts w:eastAsia="Arial" w:cs="Arial" w:ascii="Arial" w:hAnsi="Arial"/>
                <w:color w:val="1B1C1D"/>
                <w:sz w:val="22"/>
                <w:szCs w:val="22"/>
              </w:rPr>
              <w:t>Contenido del Informe</w:t>
            </w:r>
          </w:p>
          <w:p>
            <w:pPr>
              <w:pStyle w:val="normal1"/>
              <w:widowControl w:val="false"/>
              <w:spacing w:lineRule="auto" w:line="240"/>
              <w:rPr>
                <w:rFonts w:ascii="Arial" w:hAnsi="Arial" w:eastAsia="Arial" w:cs="Arial"/>
                <w:sz w:val="22"/>
                <w:szCs w:val="22"/>
              </w:rPr>
            </w:pPr>
            <w:r>
              <w:rPr>
                <w:rFonts w:eastAsia="Arial" w:cs="Arial" w:ascii="Arial" w:hAnsi="Arial"/>
                <w:color w:val="1B1C1D"/>
                <w:sz w:val="22"/>
                <w:szCs w:val="22"/>
              </w:rPr>
              <w:t xml:space="preserve">El informe de ensayo de aptitud se elabora de acuerdo al </w:t>
            </w:r>
            <w:r>
              <w:rPr>
                <w:rFonts w:eastAsia="Arial" w:cs="Arial" w:ascii="Arial" w:hAnsi="Arial"/>
                <w:sz w:val="22"/>
                <w:szCs w:val="22"/>
              </w:rPr>
              <w:t>P-PSEA-06 Procedimiento de Elaboración de Informe de Resultados.</w:t>
            </w:r>
          </w:p>
          <w:p>
            <w:pPr>
              <w:pStyle w:val="normal1"/>
              <w:spacing w:lineRule="auto" w:line="240"/>
              <w:rPr>
                <w:rFonts w:ascii="Arial" w:hAnsi="Arial" w:eastAsia="Arial" w:cs="Arial"/>
              </w:rPr>
            </w:pPr>
            <w:r>
              <w:rPr>
                <w:rFonts w:eastAsia="Arial" w:cs="Arial" w:ascii="Arial" w:hAnsi="Arial"/>
              </w:rPr>
            </w:r>
          </w:p>
        </w:tc>
      </w:tr>
    </w:tbl>
    <w:p>
      <w:pPr>
        <w:pStyle w:val="normal1"/>
        <w:spacing w:lineRule="auto" w:line="24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bl>
      <w:tblPr>
        <w:tblStyle w:val="Table13"/>
        <w:tblpPr w:vertAnchor="text" w:horzAnchor="text" w:leftFromText="141" w:rightFromText="141" w:tblpX="2205" w:tblpY="76"/>
        <w:tblW w:w="9993" w:type="dxa"/>
        <w:jc w:val="start"/>
        <w:tblInd w:w="-5" w:type="dxa"/>
        <w:tblLayout w:type="fixed"/>
        <w:tblCellMar>
          <w:top w:w="0" w:type="dxa"/>
          <w:start w:w="108" w:type="dxa"/>
          <w:bottom w:w="0" w:type="dxa"/>
          <w:end w:w="108" w:type="dxa"/>
        </w:tblCellMar>
        <w:tblLook w:val="0000"/>
      </w:tblPr>
      <w:tblGrid>
        <w:gridCol w:w="1079"/>
        <w:gridCol w:w="3866"/>
        <w:gridCol w:w="1182"/>
        <w:gridCol w:w="3866"/>
      </w:tblGrid>
      <w:tr>
        <w:trPr>
          <w:trHeight w:val="346" w:hRule="atLeast"/>
        </w:trPr>
        <w:tc>
          <w:tcPr>
            <w:tcW w:w="1079" w:type="dxa"/>
            <w:tcBorders>
              <w:top w:val="single" w:sz="4" w:space="0" w:color="000000"/>
              <w:start w:val="single" w:sz="4" w:space="0" w:color="000000"/>
              <w:bottom w:val="single" w:sz="4" w:space="0" w:color="000000"/>
              <w:end w:val="single" w:sz="4" w:space="0" w:color="000000"/>
            </w:tcBorders>
            <w:shd w:fill="F3F3F3" w:val="clear"/>
          </w:tcPr>
          <w:p>
            <w:pPr>
              <w:pStyle w:val="normal1"/>
              <w:spacing w:lineRule="auto" w:line="240" w:before="120" w:after="120"/>
              <w:jc w:val="center"/>
              <w:rPr>
                <w:rFonts w:ascii="Arial" w:hAnsi="Arial" w:eastAsia="Arial" w:cs="Arial"/>
                <w:position w:val="0"/>
                <w:sz w:val="22"/>
                <w:szCs w:val="22"/>
                <w:vertAlign w:val="baseline"/>
              </w:rPr>
            </w:pPr>
            <w:r>
              <w:rPr>
                <w:rFonts w:eastAsia="Arial" w:cs="Arial" w:ascii="Arial" w:hAnsi="Arial"/>
                <w:b/>
                <w:position w:val="0"/>
                <w:sz w:val="22"/>
                <w:szCs w:val="22"/>
                <w:vertAlign w:val="baseline"/>
              </w:rPr>
              <w:t>REVISÓ</w:t>
            </w:r>
          </w:p>
        </w:tc>
        <w:tc>
          <w:tcPr>
            <w:tcW w:w="3866" w:type="dxa"/>
            <w:tcBorders>
              <w:top w:val="single" w:sz="4" w:space="0" w:color="000000"/>
              <w:start w:val="single" w:sz="4" w:space="0" w:color="000000"/>
              <w:bottom w:val="single" w:sz="4" w:space="0" w:color="000000"/>
              <w:end w:val="single" w:sz="4" w:space="0" w:color="000000"/>
            </w:tcBorders>
            <w:shd w:fill="auto"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c>
        <w:tc>
          <w:tcPr>
            <w:tcW w:w="1182" w:type="dxa"/>
            <w:tcBorders>
              <w:top w:val="single" w:sz="4" w:space="0" w:color="000000"/>
              <w:start w:val="single" w:sz="4" w:space="0" w:color="000000"/>
              <w:bottom w:val="single" w:sz="4" w:space="0" w:color="000000"/>
              <w:end w:val="single" w:sz="4" w:space="0" w:color="000000"/>
            </w:tcBorders>
            <w:shd w:fill="F3F3F3"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APROBÓ</w:t>
            </w:r>
          </w:p>
        </w:tc>
        <w:tc>
          <w:tcPr>
            <w:tcW w:w="38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c>
      </w:tr>
      <w:tr>
        <w:trPr>
          <w:trHeight w:val="113" w:hRule="atLeast"/>
        </w:trPr>
        <w:tc>
          <w:tcPr>
            <w:tcW w:w="1079" w:type="dxa"/>
            <w:tcBorders>
              <w:top w:val="single" w:sz="4" w:space="0" w:color="000000"/>
              <w:start w:val="single" w:sz="4" w:space="0" w:color="000000"/>
              <w:bottom w:val="single" w:sz="4" w:space="0" w:color="000000"/>
              <w:end w:val="single" w:sz="4" w:space="0" w:color="000000"/>
            </w:tcBorders>
            <w:shd w:fill="F3F3F3"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ROL</w:t>
            </w:r>
          </w:p>
        </w:tc>
        <w:tc>
          <w:tcPr>
            <w:tcW w:w="3866" w:type="dxa"/>
            <w:tcBorders>
              <w:top w:val="single" w:sz="4" w:space="0" w:color="000000"/>
              <w:start w:val="single" w:sz="4" w:space="0" w:color="000000"/>
              <w:bottom w:val="single" w:sz="4" w:space="0" w:color="000000"/>
              <w:end w:val="single" w:sz="4" w:space="0" w:color="000000"/>
            </w:tcBorders>
            <w:shd w:fill="auto"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c>
        <w:tc>
          <w:tcPr>
            <w:tcW w:w="1182" w:type="dxa"/>
            <w:tcBorders>
              <w:top w:val="single" w:sz="4" w:space="0" w:color="000000"/>
              <w:start w:val="single" w:sz="4" w:space="0" w:color="000000"/>
              <w:bottom w:val="single" w:sz="4" w:space="0" w:color="000000"/>
              <w:end w:val="single" w:sz="4" w:space="0" w:color="000000"/>
            </w:tcBorders>
            <w:shd w:fill="F3F3F3"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ROL</w:t>
            </w:r>
          </w:p>
        </w:tc>
        <w:tc>
          <w:tcPr>
            <w:tcW w:w="38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c>
      </w:tr>
      <w:tr>
        <w:trPr>
          <w:trHeight w:val="113" w:hRule="atLeast"/>
        </w:trPr>
        <w:tc>
          <w:tcPr>
            <w:tcW w:w="1079" w:type="dxa"/>
            <w:tcBorders>
              <w:top w:val="single" w:sz="4" w:space="0" w:color="000000"/>
              <w:start w:val="single" w:sz="4" w:space="0" w:color="000000"/>
              <w:bottom w:val="single" w:sz="4" w:space="0" w:color="000000"/>
              <w:end w:val="single" w:sz="4" w:space="0" w:color="000000"/>
            </w:tcBorders>
            <w:shd w:fill="F3F3F3"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FECHA</w:t>
            </w:r>
          </w:p>
        </w:tc>
        <w:tc>
          <w:tcPr>
            <w:tcW w:w="3866" w:type="dxa"/>
            <w:tcBorders>
              <w:top w:val="single" w:sz="4" w:space="0" w:color="000000"/>
              <w:start w:val="single" w:sz="4" w:space="0" w:color="000000"/>
              <w:bottom w:val="single" w:sz="4" w:space="0" w:color="000000"/>
              <w:end w:val="single" w:sz="4" w:space="0" w:color="000000"/>
            </w:tcBorders>
            <w:shd w:fill="auto"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c>
        <w:tc>
          <w:tcPr>
            <w:tcW w:w="1182" w:type="dxa"/>
            <w:tcBorders>
              <w:top w:val="single" w:sz="4" w:space="0" w:color="000000"/>
              <w:start w:val="single" w:sz="4" w:space="0" w:color="000000"/>
              <w:bottom w:val="single" w:sz="4" w:space="0" w:color="000000"/>
              <w:end w:val="single" w:sz="4" w:space="0" w:color="000000"/>
            </w:tcBorders>
            <w:shd w:fill="F3F3F3"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FECHA</w:t>
            </w:r>
          </w:p>
        </w:tc>
        <w:tc>
          <w:tcPr>
            <w:tcW w:w="38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c>
      </w:tr>
    </w:tbl>
    <w:p>
      <w:pPr>
        <w:pStyle w:val="normal1"/>
        <w:spacing w:lineRule="auto" w:line="240" w:before="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sectPr>
      <w:headerReference w:type="even" r:id="rId5"/>
      <w:headerReference w:type="default" r:id="rId6"/>
      <w:headerReference w:type="first" r:id="rId7"/>
      <w:type w:val="nextPage"/>
      <w:pgSz w:orient="landscape" w:w="15840" w:h="12240"/>
      <w:pgMar w:left="720" w:right="720" w:gutter="0" w:header="709" w:top="766"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Georgia">
    <w:charset w:val="01" w:characterSet="utf-8"/>
    <w:family w:val="roman"/>
    <w:pitch w:val="variable"/>
  </w:font>
  <w:font w:name="Arial">
    <w:charset w:val="01" w:characterSet="utf-8"/>
    <w:family w:val="roman"/>
    <w:pitch w:val="variable"/>
  </w:font>
  <w:font w:name="Aptos Display">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ahoma">
    <w:charset w:val="01" w:characterSet="utf-8"/>
    <w:family w:val="roman"/>
    <w:pitch w:val="variable"/>
  </w:font>
  <w:font w:name="Arial Unicode M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276" w:before="0" w:after="0"/>
      <w:ind w:hanging="0" w:start="0" w:end="0"/>
      <w:jc w:val="start"/>
      <w:rPr>
        <w:rFonts w:ascii="Arial" w:hAnsi="Arial" w:eastAsia="Arial" w:cs="Arial"/>
        <w:position w:val="0"/>
        <w:sz w:val="22"/>
        <w:szCs w:val="22"/>
        <w:vertAlign w:val="baseline"/>
      </w:rPr>
    </w:pPr>
    <w:r>
      <w:rPr>
        <w:rFonts w:eastAsia="Arial" w:cs="Arial" w:ascii="Arial" w:hAnsi="Arial"/>
        <w:position w:val="0"/>
        <w:sz w:val="22"/>
        <w:szCs w:val="22"/>
        <w:vertAlign w:val="baseline"/>
      </w:rPr>
    </w:r>
  </w:p>
  <w:tbl>
    <w:tblPr>
      <w:tblStyle w:val="Table14"/>
      <w:tblW w:w="14630" w:type="dxa"/>
      <w:jc w:val="center"/>
      <w:tblInd w:w="0" w:type="dxa"/>
      <w:tblLayout w:type="fixed"/>
      <w:tblCellMar>
        <w:top w:w="0" w:type="dxa"/>
        <w:start w:w="108" w:type="dxa"/>
        <w:bottom w:w="0" w:type="dxa"/>
        <w:end w:w="108" w:type="dxa"/>
      </w:tblCellMar>
      <w:tblLook w:val="0000"/>
    </w:tblPr>
    <w:tblGrid>
      <w:gridCol w:w="2523"/>
      <w:gridCol w:w="9072"/>
      <w:gridCol w:w="3035"/>
    </w:tblGrid>
    <w:tr>
      <w:trPr>
        <w:cantSplit/>
      </w:trPr>
      <w:tc>
        <w:tcPr>
          <w:tcW w:w="2523"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drawing>
              <wp:inline distT="0" distB="0" distL="0" distR="0">
                <wp:extent cx="1346835" cy="621665"/>
                <wp:effectExtent l="0" t="0" r="0" b="0"/>
                <wp:docPr id="4" name="image2.png"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Sin título"/>
                        <pic:cNvPicPr>
                          <a:picLocks noChangeAspect="1" noChangeArrowheads="1"/>
                        </pic:cNvPicPr>
                      </pic:nvPicPr>
                      <pic:blipFill>
                        <a:blip r:embed="rId1"/>
                        <a:stretch>
                          <a:fillRect/>
                        </a:stretch>
                      </pic:blipFill>
                      <pic:spPr bwMode="auto">
                        <a:xfrm>
                          <a:off x="0" y="0"/>
                          <a:ext cx="1346835" cy="621665"/>
                        </a:xfrm>
                        <a:prstGeom prst="rect">
                          <a:avLst/>
                        </a:prstGeom>
                        <a:noFill/>
                      </pic:spPr>
                    </pic:pic>
                  </a:graphicData>
                </a:graphic>
              </wp:inline>
            </w:drawing>
          </w:r>
        </w:p>
      </w:tc>
      <w:tc>
        <w:tcPr>
          <w:tcW w:w="9072"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LABORATORIO DE CALIDAD DEL AIRE</w:t>
          </w:r>
        </w:p>
      </w:tc>
      <w:tc>
        <w:tcPr>
          <w:tcW w:w="30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Código: P-PSEA-0</w:t>
          </w:r>
          <w:r>
            <w:rPr>
              <w:rFonts w:eastAsia="Arial" w:cs="Arial" w:ascii="Arial" w:hAnsi="Arial"/>
              <w:b/>
              <w:sz w:val="20"/>
              <w:szCs w:val="20"/>
            </w:rPr>
            <w:t>3</w:t>
          </w:r>
        </w:p>
      </w:tc>
    </w:tr>
    <w:tr>
      <w:trPr>
        <w:cantSplit/>
      </w:trPr>
      <w:tc>
        <w:tcPr>
          <w:tcW w:w="2523"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r>
        </w:p>
      </w:tc>
      <w:tc>
        <w:tcPr>
          <w:tcW w:w="9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r>
        </w:p>
      </w:tc>
      <w:tc>
        <w:tcPr>
          <w:tcW w:w="30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Versión: 01</w:t>
          </w:r>
        </w:p>
      </w:tc>
    </w:tr>
    <w:tr>
      <w:trPr>
        <w:cantSplit/>
      </w:trPr>
      <w:tc>
        <w:tcPr>
          <w:tcW w:w="2523"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r>
        </w:p>
      </w:tc>
      <w:tc>
        <w:tcPr>
          <w:tcW w:w="90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120" w:after="120"/>
            <w:ind w:hanging="0" w:start="0" w:end="0"/>
            <w:jc w:val="center"/>
            <w:rPr>
              <w:rFonts w:ascii="Arial" w:hAnsi="Arial" w:eastAsia="Arial" w:cs="Arial"/>
              <w:b w:val="false"/>
              <w:i w:val="false"/>
              <w:caps w:val="false"/>
              <w:smallCaps w:val="false"/>
              <w:strike w:val="false"/>
              <w:dstrike w:val="false"/>
              <w:color w:val="000000"/>
              <w:sz w:val="20"/>
              <w:szCs w:val="20"/>
              <w:u w:val="none"/>
              <w:shd w:fill="auto" w:val="clear"/>
              <w:vertAlign w:val="subscript"/>
            </w:rPr>
          </w:pPr>
          <w:r>
            <w:rPr>
              <w:rFonts w:eastAsia="Arial" w:cs="Arial" w:ascii="Arial" w:hAnsi="Arial"/>
              <w:b/>
              <w:sz w:val="20"/>
              <w:szCs w:val="20"/>
            </w:rPr>
            <w:t>PROCEDIMIENTO DE ENSAYO DE APTITUD PARA CO</w:t>
          </w:r>
        </w:p>
      </w:tc>
      <w:tc>
        <w:tcPr>
          <w:tcW w:w="303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 xml:space="preserve">Página </w:t>
          </w:r>
          <w:r>
            <w:rPr/>
            <w:fldChar w:fldCharType="begin"/>
          </w:r>
          <w:r>
            <w:rPr/>
            <w:instrText xml:space="preserve"> PAGE </w:instrText>
          </w:r>
          <w:r>
            <w:rPr/>
            <w:fldChar w:fldCharType="separate"/>
          </w:r>
          <w:r>
            <w:rPr/>
            <w:t>8</w:t>
          </w:r>
          <w:r>
            <w:rPr/>
            <w:fldChar w:fldCharType="end"/>
          </w: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 xml:space="preserve"> de </w:t>
          </w:r>
          <w:r>
            <w:rPr/>
            <w:fldChar w:fldCharType="begin"/>
          </w:r>
          <w:r>
            <w:rPr/>
            <w:instrText xml:space="preserve"> NUMPAGES </w:instrText>
          </w:r>
          <w:r>
            <w:rPr/>
            <w:fldChar w:fldCharType="separate"/>
          </w:r>
          <w:r>
            <w:rPr/>
            <w:t>8</w:t>
          </w:r>
          <w:r>
            <w:rPr/>
            <w:fldChar w:fldCharType="end"/>
          </w:r>
        </w:p>
      </w:tc>
    </w:tr>
  </w:tbl>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276" w:before="0" w:after="0"/>
      <w:ind w:hanging="0" w:start="0" w:end="0"/>
      <w:jc w:val="start"/>
      <w:rPr>
        <w:rFonts w:ascii="Arial" w:hAnsi="Arial" w:eastAsia="Arial" w:cs="Arial"/>
        <w:position w:val="0"/>
        <w:sz w:val="22"/>
        <w:szCs w:val="22"/>
        <w:vertAlign w:val="baseline"/>
      </w:rPr>
    </w:pPr>
    <w:r>
      <w:rPr>
        <w:rFonts w:eastAsia="Arial" w:cs="Arial" w:ascii="Arial" w:hAnsi="Arial"/>
        <w:position w:val="0"/>
        <w:sz w:val="22"/>
        <w:szCs w:val="22"/>
        <w:vertAlign w:val="baseline"/>
      </w:rPr>
    </w:r>
  </w:p>
  <w:tbl>
    <w:tblPr>
      <w:tblStyle w:val="Table14"/>
      <w:tblW w:w="14630" w:type="dxa"/>
      <w:jc w:val="center"/>
      <w:tblInd w:w="0" w:type="dxa"/>
      <w:tblLayout w:type="fixed"/>
      <w:tblCellMar>
        <w:top w:w="0" w:type="dxa"/>
        <w:start w:w="108" w:type="dxa"/>
        <w:bottom w:w="0" w:type="dxa"/>
        <w:end w:w="108" w:type="dxa"/>
      </w:tblCellMar>
      <w:tblLook w:val="0000"/>
    </w:tblPr>
    <w:tblGrid>
      <w:gridCol w:w="2523"/>
      <w:gridCol w:w="9072"/>
      <w:gridCol w:w="3035"/>
    </w:tblGrid>
    <w:tr>
      <w:trPr>
        <w:cantSplit/>
      </w:trPr>
      <w:tc>
        <w:tcPr>
          <w:tcW w:w="2523"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drawing>
              <wp:inline distT="0" distB="0" distL="0" distR="0">
                <wp:extent cx="1346835" cy="621665"/>
                <wp:effectExtent l="0" t="0" r="0" b="0"/>
                <wp:docPr id="5" name="image2.png"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Sin título"/>
                        <pic:cNvPicPr>
                          <a:picLocks noChangeAspect="1" noChangeArrowheads="1"/>
                        </pic:cNvPicPr>
                      </pic:nvPicPr>
                      <pic:blipFill>
                        <a:blip r:embed="rId1"/>
                        <a:stretch>
                          <a:fillRect/>
                        </a:stretch>
                      </pic:blipFill>
                      <pic:spPr bwMode="auto">
                        <a:xfrm>
                          <a:off x="0" y="0"/>
                          <a:ext cx="1346835" cy="621665"/>
                        </a:xfrm>
                        <a:prstGeom prst="rect">
                          <a:avLst/>
                        </a:prstGeom>
                        <a:noFill/>
                      </pic:spPr>
                    </pic:pic>
                  </a:graphicData>
                </a:graphic>
              </wp:inline>
            </w:drawing>
          </w:r>
        </w:p>
      </w:tc>
      <w:tc>
        <w:tcPr>
          <w:tcW w:w="9072"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LABORATORIO DE CALIDAD DEL AIRE</w:t>
          </w:r>
        </w:p>
      </w:tc>
      <w:tc>
        <w:tcPr>
          <w:tcW w:w="30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Código: P-PSEA-0</w:t>
          </w:r>
          <w:r>
            <w:rPr>
              <w:rFonts w:eastAsia="Arial" w:cs="Arial" w:ascii="Arial" w:hAnsi="Arial"/>
              <w:b/>
              <w:sz w:val="20"/>
              <w:szCs w:val="20"/>
            </w:rPr>
            <w:t>3</w:t>
          </w:r>
        </w:p>
      </w:tc>
    </w:tr>
    <w:tr>
      <w:trPr>
        <w:cantSplit/>
      </w:trPr>
      <w:tc>
        <w:tcPr>
          <w:tcW w:w="2523"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r>
        </w:p>
      </w:tc>
      <w:tc>
        <w:tcPr>
          <w:tcW w:w="9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r>
        </w:p>
      </w:tc>
      <w:tc>
        <w:tcPr>
          <w:tcW w:w="30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Versión: 01</w:t>
          </w:r>
        </w:p>
      </w:tc>
    </w:tr>
    <w:tr>
      <w:trPr>
        <w:cantSplit/>
      </w:trPr>
      <w:tc>
        <w:tcPr>
          <w:tcW w:w="2523"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r>
        </w:p>
      </w:tc>
      <w:tc>
        <w:tcPr>
          <w:tcW w:w="90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120" w:after="120"/>
            <w:ind w:hanging="0" w:start="0" w:end="0"/>
            <w:jc w:val="center"/>
            <w:rPr>
              <w:rFonts w:ascii="Arial" w:hAnsi="Arial" w:eastAsia="Arial" w:cs="Arial"/>
              <w:b w:val="false"/>
              <w:i w:val="false"/>
              <w:caps w:val="false"/>
              <w:smallCaps w:val="false"/>
              <w:strike w:val="false"/>
              <w:dstrike w:val="false"/>
              <w:color w:val="000000"/>
              <w:sz w:val="20"/>
              <w:szCs w:val="20"/>
              <w:u w:val="none"/>
              <w:shd w:fill="auto" w:val="clear"/>
              <w:vertAlign w:val="subscript"/>
            </w:rPr>
          </w:pPr>
          <w:r>
            <w:rPr>
              <w:rFonts w:eastAsia="Arial" w:cs="Arial" w:ascii="Arial" w:hAnsi="Arial"/>
              <w:b/>
              <w:sz w:val="20"/>
              <w:szCs w:val="20"/>
            </w:rPr>
            <w:t>PROCEDIMIENTO DE ENSAYO DE APTITUD PARA CO</w:t>
          </w:r>
        </w:p>
      </w:tc>
      <w:tc>
        <w:tcPr>
          <w:tcW w:w="303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 xml:space="preserve">Página </w:t>
          </w:r>
          <w:r>
            <w:rPr/>
            <w:fldChar w:fldCharType="begin"/>
          </w:r>
          <w:r>
            <w:rPr/>
            <w:instrText xml:space="preserve"> PAGE </w:instrText>
          </w:r>
          <w:r>
            <w:rPr/>
            <w:fldChar w:fldCharType="separate"/>
          </w:r>
          <w:r>
            <w:rPr/>
            <w:t>8</w:t>
          </w:r>
          <w:r>
            <w:rPr/>
            <w:fldChar w:fldCharType="end"/>
          </w: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 xml:space="preserve"> de </w:t>
          </w:r>
          <w:r>
            <w:rPr/>
            <w:fldChar w:fldCharType="begin"/>
          </w:r>
          <w:r>
            <w:rPr/>
            <w:instrText xml:space="preserve"> NUMPAGES </w:instrText>
          </w:r>
          <w:r>
            <w:rPr/>
            <w:fldChar w:fldCharType="separate"/>
          </w:r>
          <w:r>
            <w:rPr/>
            <w:t>8</w:t>
          </w:r>
          <w:r>
            <w:rPr/>
            <w:fldChar w:fldCharType="end"/>
          </w:r>
        </w:p>
      </w:tc>
    </w:tr>
  </w:tbl>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b/>
        <w:i w:val="false"/>
        <w:position w:val="0"/>
        <w:sz w:val="24"/>
        <w:vertAlign w:val="baseline"/>
      </w:rPr>
    </w:lvl>
    <w:lvl w:ilvl="1">
      <w:start w:val="2"/>
      <w:numFmt w:val="decimal"/>
      <w:lvlText w:val="%1.%2."/>
      <w:lvlJc w:val="start"/>
      <w:pPr>
        <w:tabs>
          <w:tab w:val="num" w:pos="0"/>
        </w:tabs>
        <w:ind w:start="792" w:hanging="432"/>
      </w:pPr>
      <w:rPr>
        <w:b/>
        <w:position w:val="0"/>
        <w:sz w:val="24"/>
        <w:vertAlign w:val="baseline"/>
      </w:rPr>
    </w:lvl>
    <w:lvl w:ilvl="2">
      <w:start w:val="1"/>
      <w:numFmt w:val="decimal"/>
      <w:lvlText w:val="%1.%2.%3."/>
      <w:lvlJc w:val="start"/>
      <w:pPr>
        <w:tabs>
          <w:tab w:val="num" w:pos="0"/>
        </w:tabs>
        <w:ind w:start="1224" w:hanging="504"/>
      </w:pPr>
      <w:rPr>
        <w:b/>
        <w:position w:val="0"/>
        <w:sz w:val="24"/>
        <w:vertAlign w:val="baseline"/>
      </w:rPr>
    </w:lvl>
    <w:lvl w:ilvl="3">
      <w:start w:val="1"/>
      <w:numFmt w:val="decimal"/>
      <w:lvlText w:val="%1.%2.%3.%4."/>
      <w:lvlJc w:val="start"/>
      <w:pPr>
        <w:tabs>
          <w:tab w:val="num" w:pos="0"/>
        </w:tabs>
        <w:ind w:start="1728" w:hanging="648"/>
      </w:pPr>
      <w:rPr>
        <w:position w:val="0"/>
        <w:sz w:val="24"/>
        <w:vertAlign w:val="baseline"/>
      </w:rPr>
    </w:lvl>
    <w:lvl w:ilvl="4">
      <w:start w:val="1"/>
      <w:numFmt w:val="decimal"/>
      <w:lvlText w:val="%1.%2.%3.%4.%5."/>
      <w:lvlJc w:val="start"/>
      <w:pPr>
        <w:tabs>
          <w:tab w:val="num" w:pos="0"/>
        </w:tabs>
        <w:ind w:start="2232" w:hanging="792"/>
      </w:pPr>
      <w:rPr>
        <w:position w:val="0"/>
        <w:sz w:val="24"/>
        <w:vertAlign w:val="baseline"/>
      </w:rPr>
    </w:lvl>
    <w:lvl w:ilvl="5">
      <w:start w:val="1"/>
      <w:numFmt w:val="decimal"/>
      <w:lvlText w:val="%1.%2.%3.%4.%5.%6."/>
      <w:lvlJc w:val="start"/>
      <w:pPr>
        <w:tabs>
          <w:tab w:val="num" w:pos="0"/>
        </w:tabs>
        <w:ind w:start="2736" w:hanging="936"/>
      </w:pPr>
      <w:rPr>
        <w:position w:val="0"/>
        <w:sz w:val="24"/>
        <w:vertAlign w:val="baseline"/>
      </w:rPr>
    </w:lvl>
    <w:lvl w:ilvl="6">
      <w:start w:val="1"/>
      <w:numFmt w:val="decimal"/>
      <w:lvlText w:val="%1.%2.%3.%4.%5.%6.%7."/>
      <w:lvlJc w:val="start"/>
      <w:pPr>
        <w:tabs>
          <w:tab w:val="num" w:pos="0"/>
        </w:tabs>
        <w:ind w:start="3240" w:hanging="1080"/>
      </w:pPr>
      <w:rPr>
        <w:position w:val="0"/>
        <w:sz w:val="24"/>
        <w:vertAlign w:val="baseline"/>
      </w:rPr>
    </w:lvl>
    <w:lvl w:ilvl="7">
      <w:start w:val="1"/>
      <w:numFmt w:val="decimal"/>
      <w:lvlText w:val="%1.%2.%3.%4.%5.%6.%7.%8."/>
      <w:lvlJc w:val="start"/>
      <w:pPr>
        <w:tabs>
          <w:tab w:val="num" w:pos="0"/>
        </w:tabs>
        <w:ind w:start="3744" w:hanging="1224"/>
      </w:pPr>
      <w:rPr>
        <w:position w:val="0"/>
        <w:sz w:val="24"/>
        <w:vertAlign w:val="baseline"/>
      </w:rPr>
    </w:lvl>
    <w:lvl w:ilvl="8">
      <w:start w:val="1"/>
      <w:numFmt w:val="decimal"/>
      <w:lvlText w:val="%1.%2.%3.%4.%5.%6.%7.%8.%9."/>
      <w:lvlJc w:val="start"/>
      <w:pPr>
        <w:tabs>
          <w:tab w:val="num" w:pos="0"/>
        </w:tabs>
        <w:ind w:start="4320" w:hanging="1440"/>
      </w:pPr>
      <w:rPr>
        <w:position w:val="0"/>
        <w:sz w:val="24"/>
        <w:vertAlign w:val="baseline"/>
      </w:rPr>
    </w:lvl>
  </w:abstractNum>
  <w:abstractNum w:abstractNumId="2">
    <w:lvl w:ilvl="0">
      <w:start w:val="1"/>
      <w:numFmt w:val="bullet"/>
      <w:lvlText w:val=""/>
      <w:lvlJc w:val="start"/>
      <w:pPr>
        <w:tabs>
          <w:tab w:val="num" w:pos="0"/>
        </w:tabs>
        <w:ind w:start="465"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iberation Sans"/>
        <w:sz w:val="24"/>
        <w:szCs w:val="24"/>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Liberation Sans"/>
      <w:color w:val="auto"/>
      <w:kern w:val="0"/>
      <w:sz w:val="24"/>
      <w:szCs w:val="24"/>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Fuentedeprrafopredeter">
    <w:name w:val="Fuente de párrafo predeter."/>
    <w:qFormat/>
    <w:rPr>
      <w:w w:val="100"/>
      <w:position w:val="0"/>
      <w:sz w:val="24"/>
      <w:effect w:val="none"/>
      <w:vertAlign w:val="baseline"/>
      <w:em w:val="none"/>
    </w:rPr>
  </w:style>
  <w:style w:type="character" w:styleId="Refdecomentario">
    <w:name w:val="Ref. de comentario"/>
    <w:qFormat/>
    <w:rPr>
      <w:w w:val="100"/>
      <w:position w:val="0"/>
      <w:sz w:val="16"/>
      <w:szCs w:val="16"/>
      <w:effect w:val="none"/>
      <w:vertAlign w:val="baseline"/>
      <w:em w:val="none"/>
    </w:rPr>
  </w:style>
  <w:style w:type="character" w:styleId="estilo101">
    <w:name w:val="estilo101"/>
    <w:qFormat/>
    <w:rPr>
      <w:rFonts w:ascii="Georgia" w:hAnsi="Georgia"/>
      <w:w w:val="100"/>
      <w:position w:val="0"/>
      <w:sz w:val="24"/>
      <w:effect w:val="none"/>
      <w:vertAlign w:val="baseline"/>
      <w:em w:val="none"/>
    </w:rPr>
  </w:style>
  <w:style w:type="character" w:styleId="TextoindependienteCar">
    <w:name w:val="Texto independiente Car"/>
    <w:qFormat/>
    <w:rPr>
      <w:w w:val="100"/>
      <w:position w:val="0"/>
      <w:sz w:val="24"/>
      <w:szCs w:val="24"/>
      <w:effect w:val="none"/>
      <w:vertAlign w:val="baseline"/>
      <w:em w:val="none"/>
      <w:lang w:val="es-MX"/>
    </w:rPr>
  </w:style>
  <w:style w:type="character" w:styleId="eacep1">
    <w:name w:val="eacep1"/>
    <w:qFormat/>
    <w:rPr>
      <w:color w:val="000000"/>
      <w:w w:val="100"/>
      <w:position w:val="0"/>
      <w:sz w:val="24"/>
      <w:effect w:val="none"/>
      <w:vertAlign w:val="baseline"/>
      <w:em w:val="none"/>
    </w:rPr>
  </w:style>
  <w:style w:type="character" w:styleId="Sangra3detindependienteCar">
    <w:name w:val="Sangría 3 de t. independiente Car"/>
    <w:qFormat/>
    <w:rPr>
      <w:w w:val="100"/>
      <w:position w:val="0"/>
      <w:sz w:val="16"/>
      <w:szCs w:val="16"/>
      <w:effect w:val="none"/>
      <w:vertAlign w:val="baseline"/>
      <w:em w:val="none"/>
    </w:rPr>
  </w:style>
  <w:style w:type="character" w:styleId="SangradetextonormalCar">
    <w:name w:val="Sangría de texto normal Car"/>
    <w:qFormat/>
    <w:rPr>
      <w:rFonts w:ascii="Arial" w:hAnsi="Arial" w:cs="Arial"/>
      <w:bCs/>
      <w:w w:val="100"/>
      <w:position w:val="0"/>
      <w:sz w:val="22"/>
      <w:szCs w:val="22"/>
      <w:effect w:val="none"/>
      <w:vertAlign w:val="baseline"/>
      <w:em w:val="none"/>
      <w:lang w:val="es-ES" w:eastAsia="es-ES"/>
    </w:rPr>
  </w:style>
  <w:style w:type="character" w:styleId="Hipervnculo">
    <w:name w:val="Hipervínculo"/>
    <w:qFormat/>
    <w:rPr>
      <w:color w:val="0563C1"/>
      <w:w w:val="100"/>
      <w:position w:val="0"/>
      <w:sz w:val="24"/>
      <w:u w:val="single"/>
      <w:effect w:val="none"/>
      <w:vertAlign w:val="baseline"/>
      <w:em w:val="none"/>
    </w:rPr>
  </w:style>
  <w:style w:type="character" w:styleId="Mencinsinresolver">
    <w:name w:val="Mención sin resolver"/>
    <w:qFormat/>
    <w:rPr>
      <w:color w:val="605E5C"/>
      <w:w w:val="100"/>
      <w:position w:val="0"/>
      <w:sz w:val="24"/>
      <w:effect w:val="none"/>
      <w:shd w:fill="E1DFDD" w:val="clear"/>
      <w:vertAlign w:val="baseline"/>
      <w:em w:val="none"/>
    </w:rPr>
  </w:style>
  <w:style w:type="character" w:styleId="nfasis">
    <w:name w:val="Énfasis"/>
    <w:qFormat/>
    <w:rPr>
      <w:i/>
      <w:iCs/>
      <w:w w:val="100"/>
      <w:position w:val="0"/>
      <w:sz w:val="24"/>
      <w:effect w:val="none"/>
      <w:vertAlign w:val="baseline"/>
      <w:em w:val="none"/>
    </w:rPr>
  </w:style>
  <w:style w:type="character" w:styleId="Ttulo2Car">
    <w:name w:val="Título 2 Car"/>
    <w:qFormat/>
    <w:rPr>
      <w:rFonts w:ascii="Aptos Display" w:hAnsi="Aptos Display" w:eastAsia="Times New Roman" w:cs="Times New Roman"/>
      <w:b/>
      <w:bCs/>
      <w:i/>
      <w:iCs/>
      <w:w w:val="100"/>
      <w:position w:val="0"/>
      <w:sz w:val="28"/>
      <w:szCs w:val="28"/>
      <w:effect w:val="none"/>
      <w:vertAlign w:val="baseline"/>
      <w:em w:val="none"/>
      <w:lang w:val="es-ES" w:eastAsia="es-ES"/>
    </w:rPr>
  </w:style>
  <w:style w:type="character" w:styleId="Ttulo3Car">
    <w:name w:val="Título 3 Car"/>
    <w:qFormat/>
    <w:rPr>
      <w:rFonts w:ascii="Calibri Light" w:hAnsi="Calibri Light" w:eastAsia="Times New Roman" w:cs="Times New Roman"/>
      <w:b/>
      <w:bCs/>
      <w:w w:val="100"/>
      <w:position w:val="0"/>
      <w:sz w:val="26"/>
      <w:szCs w:val="26"/>
      <w:effect w:val="none"/>
      <w:vertAlign w:val="baseline"/>
      <w:em w:val="none"/>
      <w:lang w:val="es-ES" w:eastAsia="es-E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normal1" w:default="1">
    <w:name w:val="normal1"/>
    <w:qFormat/>
    <w:pPr>
      <w:widowControl/>
      <w:bidi w:val="0"/>
      <w:spacing w:before="0" w:after="0"/>
      <w:jc w:val="start"/>
    </w:pPr>
    <w:rPr>
      <w:rFonts w:ascii="Times New Roman" w:hAnsi="Times New Roman" w:eastAsia="Noto Serif CJK SC" w:cs="Liberation Sans"/>
      <w:color w:val="auto"/>
      <w:kern w:val="0"/>
      <w:sz w:val="24"/>
      <w:szCs w:val="24"/>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Ttulo1">
    <w:name w:val="Título 1"/>
    <w:basedOn w:val="normal1"/>
    <w:next w:val="normal1"/>
    <w:qFormat/>
    <w:pPr>
      <w:keepNext w:val="true"/>
      <w:suppressAutoHyphens w:val="true"/>
      <w:spacing w:lineRule="atLeast" w:line="1" w:before="240" w:after="60"/>
      <w:ind w:hangingChars="1" w:startChars="-1" w:end="0"/>
      <w:textAlignment w:val="top"/>
      <w:outlineLvl w:val="0"/>
    </w:pPr>
    <w:rPr>
      <w:rFonts w:ascii="Arial" w:hAnsi="Arial" w:cs="Arial"/>
      <w:b/>
      <w:bCs/>
      <w:w w:val="100"/>
      <w:kern w:val="2"/>
      <w:position w:val="-1"/>
      <w:sz w:val="32"/>
      <w:szCs w:val="32"/>
      <w:effect w:val="none"/>
      <w:em w:val="none"/>
      <w:lang w:val="es-ES" w:eastAsia="es-ES" w:bidi="ar-SA"/>
    </w:rPr>
  </w:style>
  <w:style w:type="paragraph" w:styleId="Ttulo2">
    <w:name w:val="Título 2"/>
    <w:basedOn w:val="normal1"/>
    <w:next w:val="normal1"/>
    <w:qFormat/>
    <w:pPr>
      <w:keepNext w:val="true"/>
      <w:suppressAutoHyphens w:val="true"/>
      <w:spacing w:lineRule="atLeast" w:line="1" w:before="240" w:after="60"/>
      <w:ind w:hangingChars="1" w:startChars="-1" w:end="0"/>
      <w:textAlignment w:val="top"/>
      <w:outlineLvl w:val="1"/>
    </w:pPr>
    <w:rPr>
      <w:rFonts w:ascii="Aptos Display" w:hAnsi="Aptos Display" w:eastAsia="Times New Roman" w:cs="Times New Roman"/>
      <w:b/>
      <w:bCs/>
      <w:i/>
      <w:iCs/>
      <w:w w:val="100"/>
      <w:position w:val="-1"/>
      <w:sz w:val="28"/>
      <w:szCs w:val="28"/>
      <w:effect w:val="none"/>
      <w:em w:val="none"/>
      <w:lang w:val="es-ES" w:eastAsia="es-ES" w:bidi="ar-SA"/>
    </w:rPr>
  </w:style>
  <w:style w:type="paragraph" w:styleId="Ttulo3">
    <w:name w:val="Título 3"/>
    <w:basedOn w:val="normal1"/>
    <w:next w:val="normal1"/>
    <w:qFormat/>
    <w:pPr>
      <w:keepNext w:val="true"/>
      <w:suppressAutoHyphens w:val="true"/>
      <w:spacing w:lineRule="atLeast" w:line="1" w:before="240" w:after="60"/>
      <w:ind w:hangingChars="1" w:startChars="-1" w:end="0"/>
      <w:textAlignment w:val="top"/>
      <w:outlineLvl w:val="2"/>
    </w:pPr>
    <w:rPr>
      <w:rFonts w:ascii="Calibri Light" w:hAnsi="Calibri Light" w:eastAsia="Times New Roman" w:cs="Times New Roman"/>
      <w:b/>
      <w:bCs/>
      <w:w w:val="100"/>
      <w:position w:val="-1"/>
      <w:sz w:val="26"/>
      <w:szCs w:val="26"/>
      <w:effect w:val="none"/>
      <w:em w:val="none"/>
      <w:lang w:val="es-ES" w:eastAsia="es-ES" w:bidi="ar-SA"/>
    </w:rPr>
  </w:style>
  <w:style w:type="paragraph" w:styleId="Encabezado">
    <w:name w:val="Encabezado"/>
    <w:basedOn w:val="normal1"/>
    <w:qFormat/>
    <w:pPr>
      <w:tabs>
        <w:tab w:val="clear" w:pos="720"/>
        <w:tab w:val="center" w:pos="4252" w:leader="none"/>
        <w:tab w:val="right" w:pos="8504" w:leader="none"/>
      </w:tabs>
      <w:suppressAutoHyphens w:val="true"/>
      <w:spacing w:lineRule="atLeast" w:line="1"/>
      <w:ind w:hangingChars="1" w:startChars="-1" w:end="0"/>
      <w:textAlignment w:val="top"/>
      <w:outlineLvl w:val="0"/>
    </w:pPr>
    <w:rPr>
      <w:w w:val="100"/>
      <w:position w:val="-1"/>
      <w:sz w:val="24"/>
      <w:szCs w:val="24"/>
      <w:effect w:val="none"/>
      <w:em w:val="none"/>
      <w:lang w:val="es-ES" w:eastAsia="es-ES" w:bidi="ar-SA"/>
    </w:rPr>
  </w:style>
  <w:style w:type="paragraph" w:styleId="Piedepgina">
    <w:name w:val="Pie de página"/>
    <w:basedOn w:val="normal1"/>
    <w:qFormat/>
    <w:pPr>
      <w:tabs>
        <w:tab w:val="clear" w:pos="720"/>
        <w:tab w:val="center" w:pos="4252" w:leader="none"/>
        <w:tab w:val="right" w:pos="8504" w:leader="none"/>
      </w:tabs>
      <w:suppressAutoHyphens w:val="true"/>
      <w:spacing w:lineRule="atLeast" w:line="1"/>
      <w:ind w:hangingChars="1" w:startChars="-1" w:end="0"/>
      <w:textAlignment w:val="top"/>
      <w:outlineLvl w:val="0"/>
    </w:pPr>
    <w:rPr>
      <w:w w:val="100"/>
      <w:position w:val="-1"/>
      <w:sz w:val="24"/>
      <w:szCs w:val="24"/>
      <w:effect w:val="none"/>
      <w:em w:val="none"/>
      <w:lang w:val="es-ES" w:eastAsia="es-ES" w:bidi="ar-SA"/>
    </w:rPr>
  </w:style>
  <w:style w:type="paragraph" w:styleId="Textodeglobo">
    <w:name w:val="Texto de globo"/>
    <w:basedOn w:val="normal1"/>
    <w:qFormat/>
    <w:pPr>
      <w:suppressAutoHyphens w:val="true"/>
      <w:spacing w:lineRule="atLeast" w:line="1"/>
      <w:ind w:hangingChars="1" w:startChars="-1" w:end="0"/>
      <w:textAlignment w:val="top"/>
      <w:outlineLvl w:val="0"/>
    </w:pPr>
    <w:rPr>
      <w:rFonts w:ascii="Tahoma" w:hAnsi="Tahoma" w:cs="Tahoma"/>
      <w:w w:val="100"/>
      <w:position w:val="-1"/>
      <w:sz w:val="16"/>
      <w:szCs w:val="16"/>
      <w:effect w:val="none"/>
      <w:em w:val="none"/>
      <w:lang w:val="es-ES" w:eastAsia="es-ES" w:bidi="ar-SA"/>
    </w:rPr>
  </w:style>
  <w:style w:type="paragraph" w:styleId="Textocomentario">
    <w:name w:val="Texto comentario"/>
    <w:basedOn w:val="normal1"/>
    <w:qFormat/>
    <w:pPr>
      <w:suppressAutoHyphens w:val="true"/>
      <w:spacing w:lineRule="atLeast" w:line="1"/>
      <w:ind w:hangingChars="1" w:startChars="-1" w:end="0"/>
      <w:textAlignment w:val="top"/>
      <w:outlineLvl w:val="0"/>
    </w:pPr>
    <w:rPr>
      <w:w w:val="100"/>
      <w:position w:val="-1"/>
      <w:sz w:val="20"/>
      <w:szCs w:val="20"/>
      <w:effect w:val="none"/>
      <w:em w:val="none"/>
      <w:lang w:val="es-ES" w:eastAsia="es-ES" w:bidi="ar-SA"/>
    </w:rPr>
  </w:style>
  <w:style w:type="paragraph" w:styleId="Asuntodelcomentario">
    <w:name w:val="Asunto del comentario"/>
    <w:basedOn w:val="Textocomentario"/>
    <w:next w:val="Textocomentario"/>
    <w:qFormat/>
    <w:pPr>
      <w:suppressAutoHyphens w:val="true"/>
      <w:spacing w:lineRule="atLeast" w:line="1"/>
      <w:ind w:hangingChars="1" w:startChars="-1" w:end="0"/>
      <w:textAlignment w:val="top"/>
    </w:pPr>
    <w:rPr>
      <w:b/>
      <w:bCs/>
      <w:w w:val="100"/>
      <w:position w:val="-1"/>
      <w:sz w:val="20"/>
      <w:szCs w:val="20"/>
      <w:effect w:val="none"/>
      <w:em w:val="none"/>
      <w:lang w:val="es-ES" w:eastAsia="es-ES" w:bidi="ar-SA"/>
    </w:rPr>
  </w:style>
  <w:style w:type="paragraph" w:styleId="Textoindependiente">
    <w:name w:val="Texto independiente"/>
    <w:basedOn w:val="normal1"/>
    <w:qFormat/>
    <w:pPr>
      <w:suppressAutoHyphens w:val="true"/>
      <w:spacing w:lineRule="atLeast" w:line="1" w:before="0" w:after="120"/>
      <w:ind w:hangingChars="1" w:startChars="-1" w:end="0"/>
      <w:textAlignment w:val="top"/>
      <w:outlineLvl w:val="0"/>
    </w:pPr>
    <w:rPr>
      <w:w w:val="100"/>
      <w:position w:val="-1"/>
      <w:sz w:val="24"/>
      <w:szCs w:val="24"/>
      <w:effect w:val="none"/>
      <w:em w:val="none"/>
      <w:lang w:val="es-MX" w:eastAsia="und" w:bidi="ar-SA"/>
    </w:rPr>
  </w:style>
  <w:style w:type="paragraph" w:styleId="Sangra3detindependiente">
    <w:name w:val="Sangría 3 de t. independiente"/>
    <w:basedOn w:val="normal1"/>
    <w:qFormat/>
    <w:pPr>
      <w:suppressAutoHyphens w:val="true"/>
      <w:spacing w:lineRule="atLeast" w:line="1" w:before="0" w:after="120"/>
      <w:ind w:hangingChars="1" w:startChars="-1" w:end="0"/>
      <w:textAlignment w:val="top"/>
      <w:outlineLvl w:val="0"/>
    </w:pPr>
    <w:rPr>
      <w:w w:val="100"/>
      <w:position w:val="-1"/>
      <w:sz w:val="16"/>
      <w:szCs w:val="16"/>
      <w:effect w:val="none"/>
      <w:em w:val="none"/>
      <w:lang w:val="und" w:eastAsia="und" w:bidi="ar-SA"/>
    </w:rPr>
  </w:style>
  <w:style w:type="paragraph" w:styleId="Default">
    <w:name w:val="Default"/>
    <w:qFormat/>
    <w:pPr>
      <w:widowControl/>
      <w:suppressAutoHyphens w:val="true"/>
      <w:bidi w:val="0"/>
      <w:spacing w:lineRule="atLeast" w:line="1" w:before="0" w:after="0"/>
      <w:ind w:hangingChars="1" w:startChars="-1" w:end="0"/>
      <w:jc w:val="start"/>
      <w:textAlignment w:val="top"/>
      <w:outlineLvl w:val="0"/>
    </w:pPr>
    <w:rPr>
      <w:rFonts w:ascii="Arial" w:hAnsi="Arial" w:cs="Arial" w:eastAsia="Noto Serif CJK SC"/>
      <w:color w:val="000000"/>
      <w:w w:val="100"/>
      <w:kern w:val="0"/>
      <w:position w:val="-1"/>
      <w:sz w:val="24"/>
      <w:szCs w:val="24"/>
      <w:effect w:val="none"/>
      <w:em w:val="none"/>
      <w:lang w:val="es-ES" w:eastAsia="es-ES" w:bidi="ar-SA"/>
    </w:rPr>
  </w:style>
  <w:style w:type="paragraph" w:styleId="Cuadrculaclara-nfasis3">
    <w:name w:val="Cuadrícula clara - Énfasis 3"/>
    <w:basedOn w:val="normal1"/>
    <w:qFormat/>
    <w:pPr>
      <w:suppressAutoHyphens w:val="true"/>
      <w:spacing w:lineRule="atLeast" w:line="1"/>
      <w:ind w:hangingChars="1" w:startChars="-1" w:end="0"/>
      <w:textAlignment w:val="top"/>
      <w:outlineLvl w:val="0"/>
    </w:pPr>
    <w:rPr>
      <w:w w:val="100"/>
      <w:position w:val="-1"/>
      <w:sz w:val="24"/>
      <w:szCs w:val="24"/>
      <w:effect w:val="none"/>
      <w:em w:val="none"/>
      <w:lang w:val="es-ES" w:eastAsia="es-ES" w:bidi="ar-SA"/>
    </w:rPr>
  </w:style>
  <w:style w:type="paragraph" w:styleId="Sangradetextonormal">
    <w:name w:val="Sangría de texto normal"/>
    <w:basedOn w:val="normal1"/>
    <w:qFormat/>
    <w:pPr>
      <w:suppressAutoHyphens w:val="true"/>
      <w:spacing w:lineRule="atLeast" w:line="1" w:before="120" w:after="120"/>
      <w:ind w:hangingChars="1" w:startChars="-1" w:end="0"/>
      <w:jc w:val="both"/>
      <w:textAlignment w:val="top"/>
      <w:outlineLvl w:val="0"/>
    </w:pPr>
    <w:rPr>
      <w:rFonts w:ascii="Arial" w:hAnsi="Arial"/>
      <w:bCs/>
      <w:w w:val="100"/>
      <w:position w:val="-1"/>
      <w:sz w:val="22"/>
      <w:szCs w:val="22"/>
      <w:effect w:val="none"/>
      <w:em w:val="none"/>
      <w:lang w:val="es-ES" w:eastAsia="es-ES" w:bidi="ar-SA"/>
    </w:rPr>
  </w:style>
  <w:style w:type="paragraph" w:styleId="Prrafodelista">
    <w:name w:val="Párrafo de lista"/>
    <w:basedOn w:val="normal1"/>
    <w:qFormat/>
    <w:pPr>
      <w:suppressAutoHyphens w:val="true"/>
      <w:spacing w:lineRule="atLeast" w:line="1"/>
      <w:ind w:hangingChars="1" w:startChars="-1" w:end="0"/>
      <w:textAlignment w:val="top"/>
      <w:outlineLvl w:val="0"/>
    </w:pPr>
    <w:rPr>
      <w:w w:val="100"/>
      <w:position w:val="-1"/>
      <w:sz w:val="24"/>
      <w:szCs w:val="24"/>
      <w:effect w:val="none"/>
      <w:em w:val="none"/>
      <w:lang w:val="es-ES" w:eastAsia="es-ES" w:bidi="ar-SA"/>
    </w:rPr>
  </w:style>
  <w:style w:type="paragraph" w:styleId="Revisin">
    <w:name w:val="Revisión"/>
    <w:qFormat/>
    <w:pPr>
      <w:widowControl/>
      <w:suppressAutoHyphens w:val="true"/>
      <w:bidi w:val="0"/>
      <w:spacing w:lineRule="atLeast" w:line="1" w:before="0" w:after="0"/>
      <w:ind w:hangingChars="1" w:startChars="-1" w:end="0"/>
      <w:jc w:val="start"/>
      <w:textAlignment w:val="top"/>
      <w:outlineLvl w:val="0"/>
    </w:pPr>
    <w:rPr>
      <w:rFonts w:ascii="Times New Roman" w:hAnsi="Times New Roman" w:eastAsia="Noto Serif CJK SC" w:cs="Liberation Sans"/>
      <w:color w:val="auto"/>
      <w:w w:val="100"/>
      <w:kern w:val="0"/>
      <w:position w:val="-1"/>
      <w:sz w:val="24"/>
      <w:szCs w:val="24"/>
      <w:effect w:val="none"/>
      <w:em w:val="none"/>
      <w:lang w:val="es-ES" w:eastAsia="es-ES" w:bidi="ar-SA"/>
    </w:rPr>
  </w:style>
  <w:style w:type="paragraph" w:styleId="NormalWeb">
    <w:name w:val="Normal (Web)"/>
    <w:basedOn w:val="normal1"/>
    <w:qFormat/>
    <w:pPr>
      <w:suppressAutoHyphens w:val="true"/>
      <w:spacing w:lineRule="atLeast" w:line="1"/>
      <w:ind w:hangingChars="1" w:startChars="-1" w:end="0"/>
      <w:textAlignment w:val="top"/>
      <w:outlineLvl w:val="0"/>
    </w:pPr>
    <w:rPr>
      <w:w w:val="100"/>
      <w:position w:val="-1"/>
      <w:sz w:val="24"/>
      <w:szCs w:val="24"/>
      <w:effect w:val="none"/>
      <w:em w:val="none"/>
      <w:lang w:val="es-ES" w:eastAsia="es-ES" w:bidi="ar-SA"/>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numbering" w:styleId="Sinlista">
    <w:name w:val="Sin lista"/>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styleId="Tablanormal">
    <w:name w:val="Tabla normal"/>
    <w:qFormat/>
    <w:pPr>
      <w:spacing w:line="1" w:lineRule="atLeast"/>
      <w:ind w:rightChars="0"/>
    </w:pPr>
    <w:rPr/>
    <w:tblPr>
      <w:tblCellMar>
        <w:top w:w="0" w:type="dxa"/>
        <w:left w:w="108" w:type="dxa"/>
        <w:bottom w:w="0" w:type="dxa"/>
        <w:right w:w="108" w:type="dxa"/>
      </w:tblCellMar>
    </w:tblPr>
  </w:style>
  <w:style w:type="table" w:styleId="Tablaconcuadrícula">
    <w:name w:val="Tabla con cuadrícula"/>
    <w:basedOn w:val="Tablanormal"/>
    <w:qFormat/>
    <w:pPr>
      <w:spacing w:line="1" w:lineRule="atLeast"/>
      <w:ind w:rightChars="0"/>
    </w:pP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Hk/LHPHvVN9/HzHeuSp2VcXj6YQ==">CgMxLjAaHwoBMBIaChgICVIUChJ0YWJsZS5kNmg1M3Y4MGNkNDQaJAoBMRIfCh0IB0IZCgVBcmlhbBIQQXJpYWwgVW5pY29kZSBNUxofCgEyEhoKGAgJUhQKEnRhYmxlLjJndnd5dW4wdWFkeBofCgEzEhoKGAgJUhQKEnRhYmxlLnk4cjlrem9mNzlyMBofCgE0EhoKGAgJUhQKEnRhYmxlLnY5YWxoeDJ3dDB6ZxokCgE1Eh8KHQgHQhkKBUFyaWFsEhBBcmlhbCBVbmljb2RlIE1TGh8KATYSGgoYCAlSFAoSdGFibGUudXhtYjAzOG16ZWVkGh8KATcSGgoYCAlSFAoSdGFibGUub2RvZHZhcWIwNHczGh8KATgSGgoYCAlSFAoSdGFibGUuNXQwd2ZlOTEwODAyGiQKATkSHwodCAdCGQoFQXJpYWwSEEFyaWFsIFVuaWNvZGUgTVMaJQoCMTASHwodCAdCGQoFQXJpYWwSEEFyaWFsIFVuaWNvZGUgTVMaJQoCMTESHwodCAdCGQoFQXJpYWwSEEFyaWFsIFVuaWNvZGUgTVMyDmgud2IxY3RldGh1cXBhMg5oLjl0ZTAxdmVtanZ4ODIOaC52cWxyZWV0bHhtemYyDmguMTl2cDR3OXF4ZmhnMg5oLng5YTliZTh4eW5heTIOaC5yNm5ueng5MGhwZXAyDmguemNoZ29qa3VnbnY2Mg5oLjZvaDEwcThybnp0OTIOaC5sYXB4MjAzZWg1cncyDWgudmUxOXBvaHQ1YmkyDmguNWQzbW51czBnYXZ3Mg5oLjlsNWNnYmJienBsMDIOaC45Y2NsaGtwZm5laHYyDmguMmh2bDFiZ3JoYmtwMg5oLjcyZHdldnF0cGNvcTgAciExMnRjZmFzUTdUbzl3RC1Ob20zTC1xbVdVSzBuQ0N3M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103</TotalTime>
  <Application>LibreOffice/26.2.5.2$Linux_X86_64 LibreOffice_project/620$Build-2</Application>
  <AppVersion>15.0000</AppVersion>
  <Pages>8</Pages>
  <Words>1862</Words>
  <Characters>10384</Characters>
  <CharactersWithSpaces>12972</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dc:description/>
  <dc:language>en-US</dc:language>
  <cp:lastModifiedBy/>
  <dcterms:modified xsi:type="dcterms:W3CDTF">2026-09-03T12:22:59Z</dcterms:modified>
  <cp:revision>1</cp:revision>
  <dc:subject/>
  <dc:title/>
</cp:coreProperties>
</file>