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-psea-05-ficha-basica-de-ronda-ea"/>
    <w:p>
      <w:pPr>
        <w:pStyle w:val="Heading1"/>
      </w:pPr>
      <w:r>
        <w:t xml:space="preserve">F-PSEA-05 Ficha basica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F-PSEA-05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1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confirmación formal de participación de un laboratorio en una ronda de EA. Incluye: datos del laboratorio participante, persona de contacto, analitos/niveles en los que participa, aceptación de términos y condiciones, declaración de confidencialidad y firma autorizada. Se envía al participante junto con las instrucciones pre-ronda (I-PSEA-09).</w:t>
      </w:r>
    </w:p>
    <w:p>
      <w:r>
        <w:pict>
          <v:rect style="width:0;height:1.5pt" o:hralign="center" o:hrstd="t" o:hr="t"/>
        </w:pict>
      </w:r>
    </w:p>
    <w:bookmarkEnd w:id="19"/>
    <w:bookmarkStart w:id="2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 aceptación/acuerdo del participante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20"/>
    <w:bookmarkStart w:id="22" w:name="X98c363a43b40047a384f0b333e79f677c32ce56"/>
    <w:p>
      <w:pPr>
        <w:pStyle w:val="Heading2"/>
      </w:pPr>
      <w:r>
        <w:t xml:space="preserve">Planificación de Contenido — Ronda Compleja Fase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P1 = SIATA + P2 = UPB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O₃, NO, NO₂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Niveles</w:t>
            </w:r>
          </w:p>
        </w:tc>
        <w:tc>
          <w:tcPr/>
          <w:p>
            <w:pPr>
              <w:pStyle w:val="Compact"/>
            </w:pPr>
            <w:r>
              <w:t xml:space="preserve">Según P-PSEA-02 (O₃) y P-PSEA-04 (NO/NO₂)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participantes</w:t>
            </w:r>
          </w:p>
        </w:tc>
        <w:tc>
          <w:tcPr/>
          <w:p>
            <w:pPr>
              <w:pStyle w:val="Compact"/>
            </w:pPr>
            <w:r>
              <w:t xml:space="preserve">6 analizadores (3 por participante: 1 O₃, 1 NO, 1 NO₂)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Periodo</w:t>
            </w:r>
          </w:p>
        </w:tc>
        <w:tc>
          <w:tcPr/>
          <w:p>
            <w:pPr>
              <w:pStyle w:val="Compact"/>
            </w:pPr>
            <w:r>
              <w:t xml:space="preserve">Semana 2: 27 de abril – 2 de mayo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In situ — medición en paralelo en instalaciones del PEA</w:t>
            </w:r>
          </w:p>
        </w:tc>
      </w:tr>
    </w:tbl>
    <w:bookmarkStart w:id="2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 (SIATA):</w:t>
      </w:r>
      <w:r>
        <w:t xml:space="preserve"> </w:t>
      </w:r>
      <w:r>
        <w:t xml:space="preserve">código asignado, razón social, contacto, firma de aceptación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P2 (UPB):</w:t>
      </w:r>
      <w:r>
        <w:t xml:space="preserve"> </w:t>
      </w:r>
      <w:r>
        <w:t xml:space="preserve">código asignado, razón social, contacto, firma de aceptación</w:t>
      </w:r>
    </w:p>
    <w:p>
      <w:pPr>
        <w:pStyle w:val="Compact"/>
        <w:numPr>
          <w:ilvl w:val="0"/>
          <w:numId w:val="1003"/>
        </w:numPr>
      </w:pPr>
      <w:r>
        <w:t xml:space="preserve">Analitos confirmados por P1: O₃, NO, NO₂</w:t>
      </w:r>
    </w:p>
    <w:p>
      <w:pPr>
        <w:pStyle w:val="Compact"/>
        <w:numPr>
          <w:ilvl w:val="0"/>
          <w:numId w:val="1004"/>
        </w:numPr>
      </w:pPr>
      <w:r>
        <w:t xml:space="preserve">Analitos confirmados por P2: O₃, NO, NO₂</w:t>
      </w:r>
    </w:p>
    <w:p>
      <w:pPr>
        <w:pStyle w:val="Compact"/>
        <w:numPr>
          <w:ilvl w:val="0"/>
          <w:numId w:val="1005"/>
        </w:numPr>
      </w:pPr>
      <w:r>
        <w:t xml:space="preserve">Niveles de concentración aceptados (ambos participantes)</w:t>
      </w:r>
    </w:p>
    <w:p>
      <w:pPr>
        <w:pStyle w:val="Compact"/>
        <w:numPr>
          <w:ilvl w:val="0"/>
          <w:numId w:val="1006"/>
        </w:numPr>
      </w:pPr>
      <w:r>
        <w:t xml:space="preserve">Declaraciones de confidencialidad firmadas (P1 y P2)</w:t>
      </w:r>
    </w:p>
    <w:p>
      <w:pPr>
        <w:pStyle w:val="Compact"/>
        <w:numPr>
          <w:ilvl w:val="0"/>
          <w:numId w:val="1007"/>
        </w:numPr>
      </w:pPr>
      <w:r>
        <w:t xml:space="preserve">Acuerdos de condiciones de la ronda (P1 y P2)</w:t>
      </w:r>
    </w:p>
    <w:p>
      <w:pPr>
        <w:pStyle w:val="Compact"/>
        <w:numPr>
          <w:ilvl w:val="0"/>
          <w:numId w:val="1008"/>
        </w:numPr>
      </w:pPr>
      <w:r>
        <w:t xml:space="preserve">Coordinación de horarios de medición en paralelo</w:t>
      </w:r>
    </w:p>
    <w:bookmarkEnd w:id="21"/>
    <w:bookmarkEnd w:id="22"/>
    <w:bookmarkEnd w:id="23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2026-06-29T13:52:29Z</dcterms:created>
  <dcterms:modified xsi:type="dcterms:W3CDTF">2026-06-29T13:52:29Z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