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-psea-06-planificacion-de-ronda-ea"/>
    <w:p>
      <w:pPr>
        <w:pStyle w:val="Heading1"/>
      </w:pPr>
      <w:r>
        <w:t xml:space="preserve">F-PSEA-06 Planificacion de ronda 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F-PSEA-06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(EA-PP2026-R2 — Fase 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1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documentar el plan específico de cada ronda de EA. Incluye: identificación de la ronda, analito(s) y niveles de concentración, número y codificación de participantes, método del valor asignado, σ_pt aplicable, algoritmo estadístico seleccionado, cronograma de la ronda, personal asignado, equipos y CRM a utilizar, y criterios de aceptación. Es el documento operativo clave que se genera a partir de P-PSEA-09.</w:t>
      </w:r>
    </w:p>
    <w:p>
      <w:r>
        <w:pict>
          <v:rect style="width:0;height:1.5pt" o:hralign="center" o:hrstd="t" o:hr="t"/>
        </w:pict>
      </w:r>
    </w:p>
    <w:bookmarkEnd w:id="19"/>
    <w:bookmarkStart w:id="2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7.2.1.3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del plan aprobado de cada ronda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20"/>
    <w:bookmarkStart w:id="22" w:name="X50986b68dd9da882be7076f8c721da605570ace"/>
    <w:p>
      <w:pPr>
        <w:pStyle w:val="Heading2"/>
      </w:pPr>
      <w:r>
        <w:t xml:space="preserve">Planificación de Contenido — EA-PP2026-R2 (Fase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Identificación de ronda</w:t>
            </w:r>
          </w:p>
        </w:tc>
        <w:tc>
          <w:tcPr/>
          <w:p>
            <w:pPr>
              <w:pStyle w:val="Compact"/>
            </w:pPr>
            <w:r>
              <w:t xml:space="preserve">EA-PP2026-R2 — Ronda Compleja Fase 1 — CALAIRE-EA Piloto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O₃, NO, NO₂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Niveles de concentración</w:t>
            </w:r>
          </w:p>
        </w:tc>
        <w:tc>
          <w:tcPr/>
          <w:p>
            <w:pPr>
              <w:pStyle w:val="Compact"/>
            </w:pPr>
            <w:r>
              <w:t xml:space="preserve">Según P-PSEA-02 (niveles O₃) y P-PSEA-04 (niveles NO/NO₂)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 previstos</w:t>
            </w:r>
          </w:p>
        </w:tc>
        <w:tc>
          <w:tcPr/>
          <w:p>
            <w:pPr>
              <w:pStyle w:val="Compact"/>
            </w:pPr>
            <w:r>
              <w:t xml:space="preserve">2 (P1 = SIATA, P2 = UPB)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 efectivos</w:t>
            </w:r>
          </w:p>
        </w:tc>
        <w:tc>
          <w:tcPr/>
          <w:p>
            <w:pPr>
              <w:pStyle w:val="Compact"/>
            </w:pPr>
            <w:r>
              <w:t xml:space="preserve">1 (P1 = SIATA) — UPB diferido a siguiente ronda por requerimiento de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valor asignado</w:t>
            </w:r>
          </w:p>
        </w:tc>
        <w:tc>
          <w:tcPr/>
          <w:p>
            <w:pPr>
              <w:pStyle w:val="Compact"/>
            </w:pPr>
            <w:r>
              <w:t xml:space="preserve">CRM + dilución dinámica (O₃ por fotólisis/generador; NO/NO₂ desde cilindro CRM)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σ_pt</w:t>
            </w:r>
          </w:p>
        </w:tc>
        <w:tc>
          <w:tcPr/>
          <w:p>
            <w:pPr>
              <w:pStyle w:val="Compact"/>
            </w:pPr>
            <w:r>
              <w:t xml:space="preserve">σ_pt = δ_E / 3 (EQA goal approach)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Algoritmo estadístico</w:t>
            </w:r>
          </w:p>
        </w:tc>
        <w:tc>
          <w:tcPr/>
          <w:p>
            <w:pPr>
              <w:pStyle w:val="Compact"/>
            </w:pPr>
            <w:r>
              <w:t xml:space="preserve">Algoritmo B (robusto) si n&lt;15; z-score contra valor de 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Semana 2: 27 de abril – 2 de mayo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2–3 jornadas (medición en paralelo de ambos participantes)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 requeridos</w:t>
            </w:r>
          </w:p>
        </w:tc>
        <w:tc>
          <w:tcPr/>
          <w:p>
            <w:pPr>
              <w:pStyle w:val="Compact"/>
            </w:pPr>
            <w:r>
              <w:t xml:space="preserve">Cilindro certificado NO/NO₂ + generador UV de O₃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Equipos generador</w:t>
            </w:r>
          </w:p>
        </w:tc>
        <w:tc>
          <w:tcPr/>
          <w:p>
            <w:pPr>
              <w:pStyle w:val="Compact"/>
            </w:pPr>
            <w:r>
              <w:t xml:space="preserve">Sistema de dilución dinámica, generador de O₃, calibrador T700 o equivalente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Multi-analito (3) × multi-participante (2) = 6 combinaciones de scoring</w:t>
            </w:r>
          </w:p>
        </w:tc>
      </w:tr>
    </w:tbl>
    <w:bookmarkStart w:id="2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Identificación formal de la ronda (código, fecha)</w:t>
      </w:r>
    </w:p>
    <w:p>
      <w:pPr>
        <w:pStyle w:val="Compact"/>
        <w:numPr>
          <w:ilvl w:val="0"/>
          <w:numId w:val="1002"/>
        </w:numPr>
      </w:pPr>
      <w:r>
        <w:t xml:space="preserve">Analitos y niveles aprobados: O₃, NO, NO₂</w:t>
      </w:r>
    </w:p>
    <w:p>
      <w:pPr>
        <w:pStyle w:val="Compact"/>
        <w:numPr>
          <w:ilvl w:val="0"/>
          <w:numId w:val="1003"/>
        </w:numPr>
      </w:pPr>
      <w:r>
        <w:t xml:space="preserve">Lista de CRM con certificados vigentes (NO/NO₂ y trazabilidad O₃)</w:t>
      </w:r>
    </w:p>
    <w:p>
      <w:pPr>
        <w:pStyle w:val="Compact"/>
        <w:numPr>
          <w:ilvl w:val="0"/>
          <w:numId w:val="1004"/>
        </w:numPr>
      </w:pPr>
      <w:r>
        <w:t xml:space="preserve">Equipos de generación, dilución y fotólisis asignados</w:t>
      </w:r>
    </w:p>
    <w:p>
      <w:pPr>
        <w:pStyle w:val="Compact"/>
        <w:numPr>
          <w:ilvl w:val="0"/>
          <w:numId w:val="1005"/>
        </w:numPr>
      </w:pPr>
      <w:r>
        <w:t xml:space="preserve">Cronograma detallado por jornada (coordinación P1 + P2)</w:t>
      </w:r>
    </w:p>
    <w:p>
      <w:pPr>
        <w:pStyle w:val="Compact"/>
        <w:numPr>
          <w:ilvl w:val="0"/>
          <w:numId w:val="1006"/>
        </w:numPr>
      </w:pPr>
      <w:r>
        <w:t xml:space="preserve">Personal responsable con firmas</w:t>
      </w:r>
    </w:p>
    <w:p>
      <w:pPr>
        <w:pStyle w:val="Compact"/>
        <w:numPr>
          <w:ilvl w:val="0"/>
          <w:numId w:val="1007"/>
        </w:numPr>
      </w:pPr>
      <w:r>
        <w:t xml:space="preserve">Criterios de aceptación (s_hom ≤ 0,3×σ_pt, estabilidad ≤ 0,3×σ_pt por analito)</w:t>
      </w:r>
    </w:p>
    <w:p>
      <w:pPr>
        <w:pStyle w:val="Compact"/>
        <w:numPr>
          <w:ilvl w:val="0"/>
          <w:numId w:val="1008"/>
        </w:numPr>
      </w:pPr>
      <w:r>
        <w:t xml:space="preserve">Método de cálculo de x_pt y σ_pt documentado por analito</w:t>
      </w:r>
    </w:p>
    <w:p>
      <w:pPr>
        <w:pStyle w:val="Compact"/>
        <w:numPr>
          <w:ilvl w:val="0"/>
          <w:numId w:val="1009"/>
        </w:numPr>
      </w:pPr>
      <w:r>
        <w:t xml:space="preserve">Plan de coordinación de medición en paralelo</w:t>
      </w:r>
    </w:p>
    <w:p>
      <w:pPr>
        <w:pStyle w:val="Compact"/>
        <w:numPr>
          <w:ilvl w:val="0"/>
          <w:numId w:val="1010"/>
        </w:numPr>
      </w:pPr>
      <w:r>
        <w:t xml:space="preserve">Aprobación del plan por dirección técnica</w:t>
      </w:r>
    </w:p>
    <w:bookmarkEnd w:id="21"/>
    <w:bookmarkEnd w:id="22"/>
    <w:bookmarkEnd w:id="23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2026-06-29T13:52:29Z</dcterms:created>
  <dcterms:modified xsi:type="dcterms:W3CDTF">2026-06-29T13:52:29Z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