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-psea-05-ficha-basica-de-ronda-ea"/>
    <w:p>
      <w:pPr>
        <w:pStyle w:val="Heading1"/>
      </w:pPr>
      <w:r>
        <w:t xml:space="preserve">F-PSEA-05 Ficha basica de ronda EA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F-PSEA-05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NO EJECUTADA en EA-PP2026-R2 — P2 (UPB) diferido a siguiente ronda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🟠 Alta</w:t>
      </w:r>
    </w:p>
    <w:p>
      <w:r>
        <w:pict>
          <v:rect style="width:0;height:1.5pt" o:hralign="center" o:hrstd="t" o:hr="t"/>
        </w:pict>
      </w:r>
    </w:p>
    <w:bookmarkStart w:id="1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Formato para la confirmación formal de participación de un laboratorio en una ronda de EA. Incluye: datos del laboratorio participante, persona de contacto, analitos/niveles en los que participa, aceptación de términos y condiciones, declaración de confidencialidad y firma autorizada. Se envía al participante junto con las instrucciones pre-ronda (I-PSEA-09).</w:t>
      </w:r>
    </w:p>
    <w:p>
      <w:r>
        <w:pict>
          <v:rect style="width:0;height:1.5pt" o:hralign="center" o:hrstd="t" o:hr="t"/>
        </w:pict>
      </w:r>
    </w:p>
    <w:bookmarkEnd w:id="19"/>
    <w:bookmarkStart w:id="2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7.1, 7.3.4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Registro de aceptación/acuerdo del participante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20"/>
    <w:bookmarkStart w:id="22" w:name="Xa6db40e5ecdd7ec2e11bfb2876c785ef521d5b4"/>
    <w:p>
      <w:pPr>
        <w:pStyle w:val="Heading2"/>
      </w:pPr>
      <w:r>
        <w:t xml:space="preserve">Planificación de Contenido — Ronda Compleja Fase 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P2 = UPB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Analitos</w:t>
            </w:r>
          </w:p>
        </w:tc>
        <w:tc>
          <w:tcPr/>
          <w:p>
            <w:pPr>
              <w:pStyle w:val="Compact"/>
            </w:pPr>
            <w:r>
              <w:t xml:space="preserve">CO, SO₂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Niveles</w:t>
            </w:r>
          </w:p>
        </w:tc>
        <w:tc>
          <w:tcPr/>
          <w:p>
            <w:pPr>
              <w:pStyle w:val="Compact"/>
            </w:pPr>
            <w:r>
              <w:t xml:space="preserve">Según P-PSEA-03 (CO) y P-PSEA-05 (SO₂) — reutilización de niveles de Ronda Simple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Equipos del participante</w:t>
            </w:r>
          </w:p>
        </w:tc>
        <w:tc>
          <w:tcPr/>
          <w:p>
            <w:pPr>
              <w:pStyle w:val="Compact"/>
            </w:pPr>
            <w:r>
              <w:t xml:space="preserve">2 analizadores (1 CO, 1 SO₂)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Periodo</w:t>
            </w:r>
          </w:p>
        </w:tc>
        <w:tc>
          <w:tcPr/>
          <w:p>
            <w:pPr>
              <w:pStyle w:val="Compact"/>
            </w:pPr>
            <w:r>
              <w:t xml:space="preserve">Semana 2: cierre (post-medición O₃/NO/NO₂)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t xml:space="preserve">In situ — continuación en instalaciones del PEA</w:t>
            </w:r>
          </w:p>
        </w:tc>
      </w:tr>
    </w:tbl>
    <w:bookmarkStart w:id="2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Código asignado al participante P2 (mismo que Fase 1)</w:t>
      </w:r>
    </w:p>
    <w:p>
      <w:pPr>
        <w:pStyle w:val="Compact"/>
        <w:numPr>
          <w:ilvl w:val="0"/>
          <w:numId w:val="1002"/>
        </w:numPr>
      </w:pPr>
      <w:r>
        <w:t xml:space="preserve">Razón social y datos de contacto UPB</w:t>
      </w:r>
    </w:p>
    <w:p>
      <w:pPr>
        <w:pStyle w:val="Compact"/>
        <w:numPr>
          <w:ilvl w:val="0"/>
          <w:numId w:val="1003"/>
        </w:numPr>
      </w:pPr>
      <w:r>
        <w:t xml:space="preserve">Persona de contacto designada</w:t>
      </w:r>
    </w:p>
    <w:p>
      <w:pPr>
        <w:pStyle w:val="Compact"/>
        <w:numPr>
          <w:ilvl w:val="0"/>
          <w:numId w:val="1004"/>
        </w:numPr>
      </w:pPr>
      <w:r>
        <w:t xml:space="preserve">Analitos confirmados: CO, SO₂</w:t>
      </w:r>
    </w:p>
    <w:p>
      <w:pPr>
        <w:pStyle w:val="Compact"/>
        <w:numPr>
          <w:ilvl w:val="0"/>
          <w:numId w:val="1005"/>
        </w:numPr>
      </w:pPr>
      <w:r>
        <w:t xml:space="preserve">Niveles de concentración aceptados</w:t>
      </w:r>
    </w:p>
    <w:p>
      <w:pPr>
        <w:pStyle w:val="Compact"/>
        <w:numPr>
          <w:ilvl w:val="0"/>
          <w:numId w:val="1006"/>
        </w:numPr>
      </w:pPr>
      <w:r>
        <w:t xml:space="preserve">Firma de aceptación y fecha</w:t>
      </w:r>
    </w:p>
    <w:p>
      <w:pPr>
        <w:pStyle w:val="Compact"/>
        <w:numPr>
          <w:ilvl w:val="0"/>
          <w:numId w:val="1007"/>
        </w:numPr>
      </w:pPr>
      <w:r>
        <w:t xml:space="preserve">Declaración de confidencialidad firmada</w:t>
      </w:r>
    </w:p>
    <w:p>
      <w:pPr>
        <w:pStyle w:val="Compact"/>
        <w:numPr>
          <w:ilvl w:val="0"/>
          <w:numId w:val="1008"/>
        </w:numPr>
      </w:pPr>
      <w:r>
        <w:t xml:space="preserve">Acuerdo de condiciones de la ronda</w:t>
      </w:r>
    </w:p>
    <w:bookmarkEnd w:id="21"/>
    <w:bookmarkEnd w:id="22"/>
    <w:bookmarkEnd w:id="23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2026-06-29T13:52:29Z</dcterms:created>
  <dcterms:modified xsi:type="dcterms:W3CDTF">2026-06-29T13:52:29Z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