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c30f5068983a656172c0a12f0756145a0f5cba8"/>
      <w:r>
        <w:rPr/>
        <w:t>ACTA DE NO APLICABILIDAD: TRATAMIENTO TÉRMICO (PIROLISIS)</w:t>
      </w:r>
    </w:p>
    <w:p>
      <w:pPr>
        <w:pStyle w:val="FirstParagraph"/>
        <w:rPr/>
      </w:pPr>
      <w:r>
        <w:rPr/>
        <w:t>CÓDIGO | VERSIÓN | VIGENCIA | PRÓXIMA REVISIÓN |</w:t>
        <w:br/>
        <w:br/>
        <w:br/>
        <w:br/>
        <w:br/>
        <w:br/>
      </w:r>
      <w:r>
        <w:rPr>
          <w:b/>
          <w:bCs/>
        </w:rPr>
        <w:t>CGC-ACTA-NA-3.04</w:t>
      </w:r>
      <w:r>
        <w:rPr/>
        <w:t xml:space="preserve"> | </w:t>
      </w:r>
      <w:r>
        <w:rPr>
          <w:b/>
          <w:bCs/>
        </w:rPr>
        <w:t>01</w:t>
      </w:r>
      <w:r>
        <w:rPr/>
        <w:t xml:space="preserve"> | </w:t>
      </w:r>
      <w:r>
        <w:rPr>
          <w:b/>
          <w:bCs/>
        </w:rPr>
        <w:t>2026-02-17</w:t>
      </w:r>
      <w:r>
        <w:rPr/>
        <w:t xml:space="preserve"> | </w:t>
      </w:r>
      <w:r>
        <w:rPr>
          <w:b/>
          <w:bCs/>
        </w:rPr>
        <w:t>12 meses o ante cambio de proceso</w:t>
      </w:r>
      <w:r>
        <w:rPr/>
        <w:t xml:space="preserve"> |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objetivo"/>
      <w:r>
        <w:rPr/>
        <w:t>1. OBJETIVO</w:t>
      </w:r>
    </w:p>
    <w:p>
      <w:pPr>
        <w:pStyle w:val="FirstParagraph"/>
        <w:rPr/>
      </w:pPr>
      <w:r>
        <w:rPr/>
        <w:t xml:space="preserve">Dejar constancia formal y documentada de la </w:t>
      </w:r>
      <w:r>
        <w:rPr>
          <w:b/>
          <w:bCs/>
        </w:rPr>
        <w:t>No Aplicabilidad</w:t>
      </w:r>
      <w:r>
        <w:rPr/>
        <w:t xml:space="preserve"> del requisito “Tratamiento Térmico por Pirolisis” (numeral 3.04 del Anexo I-B de pv0) para la operación actual de manufactura de </w:t>
      </w:r>
      <w:r>
        <w:rPr>
          <w:b/>
          <w:bCs/>
        </w:rPr>
        <w:t>CALFERQUIM S.A.S.</w:t>
      </w:r>
      <w:bookmarkEnd w:id="1"/>
    </w:p>
    <w:p>
      <w:pPr>
        <w:pStyle w:val="Heading2"/>
        <w:rPr/>
      </w:pPr>
      <w:bookmarkStart w:id="2" w:name="alcance"/>
      <w:r>
        <w:rPr/>
        <w:t>2. ALCANCE</w:t>
      </w:r>
    </w:p>
    <w:p>
      <w:pPr>
        <w:pStyle w:val="FirstParagraph"/>
        <w:rPr/>
      </w:pPr>
      <w:bookmarkStart w:id="3" w:name="alcance"/>
      <w:r>
        <w:rPr/>
        <w:t>Este documento aplica al módulo de Producción del Sistema de Gestión de Calidad y exonera a la empresa de crear el POE 3.04 mientras no se implemente el proceso de pirolisis.</w:t>
      </w:r>
      <w:bookmarkEnd w:id="3"/>
    </w:p>
    <w:p>
      <w:pPr>
        <w:pStyle w:val="Heading2"/>
        <w:rPr/>
      </w:pPr>
      <w:bookmarkStart w:id="4" w:name="fundamento-normativo"/>
      <w:r>
        <w:rPr/>
        <w:t>3. FUNDAMENTO NORMATIVO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Resolución ICA pv0 (Propuesta):</w:t>
      </w:r>
      <w:r>
        <w:rPr/>
        <w:t xml:space="preserve"> Anexo I-B, Numeral 3.04 “Tratamiento Térmico (Pirolisis)”.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Resolución ICA 150 de 2003:</w:t>
      </w:r>
      <w:r>
        <w:rPr/>
        <w:t xml:space="preserve"> Literal aplicable.</w:t>
      </w:r>
      <w:bookmarkEnd w:id="4"/>
    </w:p>
    <w:p>
      <w:pPr>
        <w:pStyle w:val="Heading2"/>
        <w:rPr/>
      </w:pPr>
      <w:bookmarkStart w:id="5" w:name="X3922a4ecea0f240bdb369f28c5320b8ce92babc"/>
      <w:r>
        <w:rPr/>
        <w:t>4. JUSTIFICACIÓN TÉCNICA DE NO APLICABILIDAD</w:t>
      </w:r>
    </w:p>
    <w:p>
      <w:pPr>
        <w:pStyle w:val="FirstParagraph"/>
        <w:rPr/>
      </w:pPr>
      <w:r>
        <w:rPr/>
        <w:t xml:space="preserve">La empresa </w:t>
      </w:r>
      <w:r>
        <w:rPr>
          <w:b/>
          <w:bCs/>
        </w:rPr>
        <w:t>CALFERQUIM S.A.S.</w:t>
      </w:r>
      <w:r>
        <w:rPr/>
        <w:t xml:space="preserve"> opera actualmente bajo un modelo de </w:t>
      </w:r>
      <w:r>
        <w:rPr>
          <w:b/>
          <w:bCs/>
        </w:rPr>
        <w:t>mezcla física</w:t>
      </w:r>
      <w:r>
        <w:rPr/>
        <w:t xml:space="preserve"> de fertilizantes y acondicionadores de suelo. Los procesos que se ejecutan son: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Mezcla </w:t>
      </w:r>
      <w:r>
        <w:rPr/>
        <w:t>Física</w:t>
      </w:r>
    </w:p>
    <w:p>
      <w:pPr>
        <w:pStyle w:val="Compact"/>
        <w:numPr>
          <w:ilvl w:val="0"/>
          <w:numId w:val="1"/>
        </w:numPr>
        <w:rPr/>
      </w:pPr>
      <w:r>
        <w:rPr/>
        <w:t>Granulación simple</w:t>
      </w:r>
    </w:p>
    <w:p>
      <w:pPr>
        <w:pStyle w:val="Compact"/>
        <w:numPr>
          <w:ilvl w:val="0"/>
          <w:numId w:val="1"/>
        </w:numPr>
        <w:rPr/>
      </w:pPr>
      <w:r>
        <w:rPr/>
        <w:t>Envasado</w:t>
      </w:r>
    </w:p>
    <w:p>
      <w:pPr>
        <w:pStyle w:val="FirstParagraph"/>
        <w:rPr/>
      </w:pPr>
      <w:r>
        <w:rPr>
          <w:b/>
          <w:bCs/>
        </w:rPr>
        <w:t>NO SE EJECUTA</w:t>
      </w:r>
      <w:r>
        <w:rPr/>
        <w:t xml:space="preserve"> ninguna etapa de transformación térmica por pirolisis, ni se cuenta con el equipo correspondiente (horno de pirolisis, reactor térmico de alta temperatura).</w:t>
      </w:r>
    </w:p>
    <w:p>
      <w:pPr>
        <w:pStyle w:val="BodyText"/>
        <w:rPr/>
      </w:pPr>
      <w:bookmarkStart w:id="6" w:name="X3922a4ecea0f240bdb369f28c5320b8ce92babc"/>
      <w:r>
        <w:rPr/>
        <w:t>Las formulaciones activas de los productos registrados no exigen este tratamiento para alcanzar las especificaciones de calidad declaradas en el Registro ICA.</w:t>
      </w:r>
      <w:bookmarkEnd w:id="6"/>
    </w:p>
    <w:p>
      <w:pPr>
        <w:pStyle w:val="Heading2"/>
        <w:rPr/>
      </w:pPr>
      <w:bookmarkStart w:id="7" w:name="evidencias-de-soporte"/>
      <w:bookmarkEnd w:id="7"/>
      <w:r>
        <w:rPr/>
        <w:t>5. EVIDENCIAS DE SOPORTE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Diagrama de Flujo de Proceso:</w:t>
      </w:r>
      <w:r>
        <w:rPr/>
        <w:t xml:space="preserve"> No incluye etapa de pirolisis.</w:t>
      </w:r>
    </w:p>
    <w:p>
      <w:pPr>
        <w:pStyle w:val="Compact"/>
        <w:rPr/>
      </w:pPr>
      <w:r>
        <w:rPr/>
      </w:r>
      <w:bookmarkStart w:id="8" w:name="evidencias-de-soporte"/>
      <w:bookmarkStart w:id="9" w:name="evidencias-de-soporte"/>
      <w:bookmarkEnd w:id="9"/>
    </w:p>
    <w:p>
      <w:pPr>
        <w:pStyle w:val="Heading2"/>
        <w:rPr/>
      </w:pPr>
      <w:r>
        <w:rPr/>
        <w:t>6</w:t>
      </w:r>
      <w:bookmarkStart w:id="10" w:name="control-de-cambios"/>
      <w:r>
        <w:rPr/>
        <w:t>. CONTROL DE CAMBIOS</w:t>
      </w:r>
    </w:p>
    <w:p>
      <w:pPr>
        <w:pStyle w:val="FirstParagraph"/>
        <w:spacing w:before="180" w:after="180"/>
        <w:rPr/>
      </w:pPr>
      <w:bookmarkStart w:id="11" w:name="Xc30f5068983a656172c0a12f0756145a0f5cba8"/>
      <w:r>
        <w:rPr/>
        <w:t>Versión | Fecha | Descripción |</w:t>
        <w:br/>
      </w:r>
      <w:bookmarkEnd w:id="11"/>
      <w:bookmarkEnd w:id="1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LibreOffice/26.2.1.2$Linux_X86_64 LibreOffice_project/620$Build-2</Application>
  <AppVersion>15.0000</AppVersion>
  <Pages>2</Pages>
  <Words>229</Words>
  <Characters>1247</Characters>
  <CharactersWithSpaces>1456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2026-03-05T10:48:09Z</dcterms:created>
  <dc:creator/>
  <dc:description/>
  <dc:language>en-US</dc:language>
  <cp:lastModifiedBy/>
  <dcterms:modified xsi:type="dcterms:W3CDTF">2026-03-05T09:11:26Z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