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7309eff128e1fd41ee126340264ed096bb3940c"/>
    <w:p>
      <w:pPr>
        <w:pStyle w:val="Heading1"/>
      </w:pPr>
      <w:r>
        <w:t xml:space="preserve">PROCEDIMIENTO OPERATIVO ESTANDARIZADO: RETIRO DE PRODUCTO (RECALL)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PROXIMA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POE-3.16A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2026-03-04</w:t>
            </w:r>
          </w:p>
        </w:tc>
        <w:tc>
          <w:tcPr/>
          <w:p>
            <w:pPr>
              <w:pStyle w:val="Compact"/>
            </w:pPr>
            <w:r>
              <w:t xml:space="preserve">12 meses o ante cambio regulatorio</w:t>
            </w:r>
          </w:p>
        </w:tc>
      </w:tr>
    </w:tbl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el protocolo para activar, ejecutar y cerrar el retiro de producto del mercado cuando exista riesgo para el cliente, incumplimiento de especificacion o no conformidad critica.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todo producto fabricado, distribuido o comercializado por CALFERQUIM S.A.S., incluyendo lotes en bodega, en ruta y en clientes.</w:t>
      </w:r>
    </w:p>
    <w:bookmarkEnd w:id="21"/>
    <w:bookmarkStart w:id="22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t xml:space="preserve">Recall: retiro controlado de producto distribuido.</w:t>
      </w:r>
    </w:p>
    <w:p>
      <w:pPr>
        <w:pStyle w:val="Compact"/>
        <w:numPr>
          <w:ilvl w:val="0"/>
          <w:numId w:val="1001"/>
        </w:numPr>
      </w:pPr>
      <w:r>
        <w:t xml:space="preserve">Contencion: inmovilizacion inmediata de inventario interno relacionado.</w:t>
      </w:r>
    </w:p>
    <w:p>
      <w:pPr>
        <w:pStyle w:val="Compact"/>
        <w:numPr>
          <w:ilvl w:val="0"/>
          <w:numId w:val="1001"/>
        </w:numPr>
      </w:pPr>
      <w:r>
        <w:t xml:space="preserve">Trazabilidad de lote: capacidad de identificar origen, destinos y cantidades por lote.</w:t>
      </w:r>
    </w:p>
    <w:p>
      <w:pPr>
        <w:pStyle w:val="Compact"/>
        <w:numPr>
          <w:ilvl w:val="0"/>
          <w:numId w:val="1001"/>
        </w:numPr>
      </w:pPr>
      <w:r>
        <w:t xml:space="preserve">Comité de retiro: Direccion Tecnica, Calidad, Servicio al Cliente, Comercial y Logistica.</w:t>
      </w:r>
    </w:p>
    <w:bookmarkEnd w:id="22"/>
    <w:bookmarkStart w:id="23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t xml:space="preserve">POE-3.16 Servicio al Cliente y PQR.</w:t>
      </w:r>
    </w:p>
    <w:p>
      <w:pPr>
        <w:pStyle w:val="Compact"/>
        <w:numPr>
          <w:ilvl w:val="0"/>
          <w:numId w:val="1002"/>
        </w:numPr>
      </w:pPr>
      <w:r>
        <w:t xml:space="preserve">POE-3.12 Liberacion de lotes.</w:t>
      </w:r>
    </w:p>
    <w:p>
      <w:pPr>
        <w:pStyle w:val="Compact"/>
        <w:numPr>
          <w:ilvl w:val="0"/>
          <w:numId w:val="1002"/>
        </w:numPr>
      </w:pPr>
      <w:r>
        <w:t xml:space="preserve">POE-3.13 Muestreo y control de calidad.</w:t>
      </w:r>
    </w:p>
    <w:p>
      <w:pPr>
        <w:pStyle w:val="Compact"/>
        <w:numPr>
          <w:ilvl w:val="0"/>
          <w:numId w:val="1002"/>
        </w:numPr>
      </w:pPr>
      <w:r>
        <w:t xml:space="preserve">Registros de trazabilidad de despachos y ventas.</w:t>
      </w:r>
    </w:p>
    <w:bookmarkEnd w:id="23"/>
    <w:bookmarkStart w:id="24" w:name="criterios-de-activacion"/>
    <w:p>
      <w:pPr>
        <w:pStyle w:val="Heading2"/>
      </w:pPr>
      <w:r>
        <w:t xml:space="preserve">5. CRITERIOS DE ACTIVACION</w:t>
      </w:r>
    </w:p>
    <w:p>
      <w:pPr>
        <w:pStyle w:val="FirstParagraph"/>
      </w:pPr>
      <w:r>
        <w:t xml:space="preserve">Se activa de inmediato cuando ocurra al menos uno de los siguientes eventos:</w:t>
      </w:r>
    </w:p>
    <w:p>
      <w:pPr>
        <w:pStyle w:val="Compact"/>
        <w:numPr>
          <w:ilvl w:val="0"/>
          <w:numId w:val="1003"/>
        </w:numPr>
      </w:pPr>
      <w:r>
        <w:t xml:space="preserve">Resultado analitico fuera de especificacion con impacto en seguridad o eficacia.</w:t>
      </w:r>
    </w:p>
    <w:p>
      <w:pPr>
        <w:pStyle w:val="Compact"/>
        <w:numPr>
          <w:ilvl w:val="0"/>
          <w:numId w:val="1003"/>
        </w:numPr>
      </w:pPr>
      <w:r>
        <w:t xml:space="preserve">Error de etiquetado que induzca uso incorrecto del producto.</w:t>
      </w:r>
    </w:p>
    <w:p>
      <w:pPr>
        <w:pStyle w:val="Compact"/>
        <w:numPr>
          <w:ilvl w:val="0"/>
          <w:numId w:val="1003"/>
        </w:numPr>
      </w:pPr>
      <w:r>
        <w:t xml:space="preserve">Contaminacion fisica/quimica/microbiologica confirmada o probable.</w:t>
      </w:r>
    </w:p>
    <w:p>
      <w:pPr>
        <w:pStyle w:val="Compact"/>
        <w:numPr>
          <w:ilvl w:val="0"/>
          <w:numId w:val="1003"/>
        </w:numPr>
      </w:pPr>
      <w:r>
        <w:t xml:space="preserve">Requerimiento de autoridad competente.</w:t>
      </w:r>
    </w:p>
    <w:p>
      <w:pPr>
        <w:pStyle w:val="Compact"/>
        <w:numPr>
          <w:ilvl w:val="0"/>
          <w:numId w:val="1003"/>
        </w:numPr>
      </w:pPr>
      <w:r>
        <w:t xml:space="preserve">Tendencia de PQR criticas sobre un mismo lote o familia de lotes.</w:t>
      </w:r>
    </w:p>
    <w:bookmarkEnd w:id="24"/>
    <w:bookmarkStart w:id="25" w:name="responsabilidades"/>
    <w:p>
      <w:pPr>
        <w:pStyle w:val="Heading2"/>
      </w:pPr>
      <w:r>
        <w:t xml:space="preserve">6. RESPONSABILIDADES</w:t>
      </w:r>
    </w:p>
    <w:p>
      <w:pPr>
        <w:pStyle w:val="Compact"/>
        <w:numPr>
          <w:ilvl w:val="0"/>
          <w:numId w:val="1004"/>
        </w:numPr>
      </w:pPr>
      <w:r>
        <w:t xml:space="preserve">Direccion Tecnica: lidera el comite, define alcance y aprueba cierre.</w:t>
      </w:r>
    </w:p>
    <w:p>
      <w:pPr>
        <w:pStyle w:val="Compact"/>
        <w:numPr>
          <w:ilvl w:val="0"/>
          <w:numId w:val="1004"/>
        </w:numPr>
      </w:pPr>
      <w:r>
        <w:t xml:space="preserve">Calidad: confirma evidencia tecnica, define lotes afectados y verifica efectividad.</w:t>
      </w:r>
    </w:p>
    <w:p>
      <w:pPr>
        <w:pStyle w:val="Compact"/>
        <w:numPr>
          <w:ilvl w:val="0"/>
          <w:numId w:val="1004"/>
        </w:numPr>
      </w:pPr>
      <w:r>
        <w:t xml:space="preserve">Servicio al Cliente: ejecuta comunicacion a clientes y consolida respuestas.</w:t>
      </w:r>
    </w:p>
    <w:p>
      <w:pPr>
        <w:pStyle w:val="Compact"/>
        <w:numPr>
          <w:ilvl w:val="0"/>
          <w:numId w:val="1004"/>
        </w:numPr>
      </w:pPr>
      <w:r>
        <w:t xml:space="preserve">Logistica: bloquea inventario y coordina retorno fisico.</w:t>
      </w:r>
    </w:p>
    <w:p>
      <w:pPr>
        <w:pStyle w:val="Compact"/>
        <w:numPr>
          <w:ilvl w:val="0"/>
          <w:numId w:val="1004"/>
        </w:numPr>
      </w:pPr>
      <w:r>
        <w:t xml:space="preserve">Comercial: asegura contacto con distribuidores y recuperacion de producto.</w:t>
      </w:r>
    </w:p>
    <w:bookmarkEnd w:id="25"/>
    <w:bookmarkStart w:id="31" w:name="procedimiento"/>
    <w:p>
      <w:pPr>
        <w:pStyle w:val="Heading2"/>
      </w:pPr>
      <w:r>
        <w:t xml:space="preserve">7. PROCEDIMIENTO</w:t>
      </w:r>
    </w:p>
    <w:bookmarkStart w:id="26" w:name="deteccion-y-decision-inicial-0-a-4-horas"/>
    <w:p>
      <w:pPr>
        <w:pStyle w:val="Heading3"/>
      </w:pPr>
      <w:r>
        <w:t xml:space="preserve">7.1 Deteccion y decision inicial (0 a 4 horas)</w:t>
      </w:r>
    </w:p>
    <w:p>
      <w:pPr>
        <w:pStyle w:val="Compact"/>
        <w:numPr>
          <w:ilvl w:val="0"/>
          <w:numId w:val="1005"/>
        </w:numPr>
      </w:pPr>
      <w:r>
        <w:t xml:space="preserve">Area detecta evento y notifica a Calidad y Direccion Tecnica.</w:t>
      </w:r>
    </w:p>
    <w:p>
      <w:pPr>
        <w:pStyle w:val="Compact"/>
        <w:numPr>
          <w:ilvl w:val="0"/>
          <w:numId w:val="1005"/>
        </w:numPr>
      </w:pPr>
      <w:r>
        <w:t xml:space="preserve">Calidad diligencia</w:t>
      </w:r>
      <w:r>
        <w:t xml:space="preserve"> </w:t>
      </w:r>
      <w:r>
        <w:rPr>
          <w:rStyle w:val="VerbatimChar"/>
        </w:rPr>
        <w:t xml:space="preserve">Formato_Activacion_Recall_3.16A_V1.csv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Direccion Tecnica convoca Comite de Retiro y clasifica nivel:</w:t>
      </w:r>
    </w:p>
    <w:p>
      <w:pPr>
        <w:pStyle w:val="Compact"/>
        <w:numPr>
          <w:ilvl w:val="1"/>
          <w:numId w:val="1006"/>
        </w:numPr>
      </w:pPr>
      <w:r>
        <w:t xml:space="preserve">Nivel 1: critico (riesgo alto, accion inmediata).</w:t>
      </w:r>
    </w:p>
    <w:p>
      <w:pPr>
        <w:pStyle w:val="Compact"/>
        <w:numPr>
          <w:ilvl w:val="1"/>
          <w:numId w:val="1006"/>
        </w:numPr>
      </w:pPr>
      <w:r>
        <w:t xml:space="preserve">Nivel 2: mayor (incumplimiento relevante sin riesgo alto inmediato).</w:t>
      </w:r>
    </w:p>
    <w:p>
      <w:pPr>
        <w:pStyle w:val="Compact"/>
        <w:numPr>
          <w:ilvl w:val="1"/>
          <w:numId w:val="1006"/>
        </w:numPr>
      </w:pPr>
      <w:r>
        <w:t xml:space="preserve">Nivel 3: preventivo (retiro voluntario por control preventivo).</w:t>
      </w:r>
    </w:p>
    <w:bookmarkEnd w:id="26"/>
    <w:bookmarkStart w:id="27" w:name="contencion-interna-0-a-8-horas"/>
    <w:p>
      <w:pPr>
        <w:pStyle w:val="Heading3"/>
      </w:pPr>
      <w:r>
        <w:t xml:space="preserve">7.2 Contencion interna (0 a 8 horas)</w:t>
      </w:r>
    </w:p>
    <w:p>
      <w:pPr>
        <w:pStyle w:val="Compact"/>
        <w:numPr>
          <w:ilvl w:val="0"/>
          <w:numId w:val="1007"/>
        </w:numPr>
      </w:pPr>
      <w:r>
        <w:t xml:space="preserve">Logistica inmoviliza inventario interno de lotes afectados.</w:t>
      </w:r>
    </w:p>
    <w:p>
      <w:pPr>
        <w:pStyle w:val="Compact"/>
        <w:numPr>
          <w:ilvl w:val="0"/>
          <w:numId w:val="1007"/>
        </w:numPr>
      </w:pPr>
      <w:r>
        <w:t xml:space="preserve">Calidad bloquea liberaciones relacionadas en sistema y registros manuales.</w:t>
      </w:r>
    </w:p>
    <w:p>
      <w:pPr>
        <w:pStyle w:val="Compact"/>
        <w:numPr>
          <w:ilvl w:val="0"/>
          <w:numId w:val="1007"/>
        </w:numPr>
      </w:pPr>
      <w:r>
        <w:t xml:space="preserve">Se identifica universo de trazabilidad: producido, despachado, en clientes y recuperable.</w:t>
      </w:r>
    </w:p>
    <w:bookmarkEnd w:id="27"/>
    <w:bookmarkStart w:id="28" w:name="comunicacion-externa-maximo-24-horas"/>
    <w:p>
      <w:pPr>
        <w:pStyle w:val="Heading3"/>
      </w:pPr>
      <w:r>
        <w:t xml:space="preserve">7.3 Comunicacion externa (maximo 24 horas)</w:t>
      </w:r>
    </w:p>
    <w:p>
      <w:pPr>
        <w:pStyle w:val="Compact"/>
        <w:numPr>
          <w:ilvl w:val="0"/>
          <w:numId w:val="1008"/>
        </w:numPr>
      </w:pPr>
      <w:r>
        <w:t xml:space="preserve">Servicio al Cliente emite notificacion formal a cada cliente/distribuidor afectado.</w:t>
      </w:r>
    </w:p>
    <w:p>
      <w:pPr>
        <w:pStyle w:val="Compact"/>
        <w:numPr>
          <w:ilvl w:val="0"/>
          <w:numId w:val="1008"/>
        </w:numPr>
      </w:pPr>
      <w:r>
        <w:t xml:space="preserve">La notificacion incluye: lote, cantidad, riesgo, instrucciones de aislamiento y canal de devolucion.</w:t>
      </w:r>
    </w:p>
    <w:p>
      <w:pPr>
        <w:pStyle w:val="Compact"/>
        <w:numPr>
          <w:ilvl w:val="0"/>
          <w:numId w:val="1008"/>
        </w:numPr>
      </w:pPr>
      <w:r>
        <w:t xml:space="preserve">Si aplica, Direccion Tecnica notifica autoridad competente con soporte tecnico.</w:t>
      </w:r>
    </w:p>
    <w:bookmarkEnd w:id="28"/>
    <w:bookmarkStart w:id="29" w:name="recuperacion-y-conciliacion"/>
    <w:p>
      <w:pPr>
        <w:pStyle w:val="Heading3"/>
      </w:pPr>
      <w:r>
        <w:t xml:space="preserve">7.4 Recuperacion y conciliacion</w:t>
      </w:r>
    </w:p>
    <w:p>
      <w:pPr>
        <w:pStyle w:val="Compact"/>
        <w:numPr>
          <w:ilvl w:val="0"/>
          <w:numId w:val="1009"/>
        </w:numPr>
      </w:pPr>
      <w:r>
        <w:t xml:space="preserve">Logistica coordina retorno y segregacion fisica del producto retirado.</w:t>
      </w:r>
    </w:p>
    <w:p>
      <w:pPr>
        <w:pStyle w:val="Compact"/>
        <w:numPr>
          <w:ilvl w:val="0"/>
          <w:numId w:val="1009"/>
        </w:numPr>
      </w:pPr>
      <w:r>
        <w:t xml:space="preserve">Cada movimiento se registra en</w:t>
      </w:r>
      <w:r>
        <w:t xml:space="preserve"> </w:t>
      </w:r>
      <w:r>
        <w:rPr>
          <w:rStyle w:val="VerbatimChar"/>
        </w:rPr>
        <w:t xml:space="preserve">Registro_Trazabilidad_Recall_3.16A_V1.csv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Calidad verifica cantidades recuperadas vs. despachadas.</w:t>
      </w:r>
    </w:p>
    <w:bookmarkEnd w:id="29"/>
    <w:bookmarkStart w:id="30" w:name="cierre-del-recall"/>
    <w:p>
      <w:pPr>
        <w:pStyle w:val="Heading3"/>
      </w:pPr>
      <w:r>
        <w:t xml:space="preserve">7.5 Cierre del recall</w:t>
      </w:r>
    </w:p>
    <w:p>
      <w:pPr>
        <w:pStyle w:val="Compact"/>
        <w:numPr>
          <w:ilvl w:val="0"/>
          <w:numId w:val="1010"/>
        </w:numPr>
      </w:pPr>
      <w:r>
        <w:t xml:space="preserve">Comite evalua efectividad del retiro y define disposicion final del material recuperado.</w:t>
      </w:r>
    </w:p>
    <w:p>
      <w:pPr>
        <w:pStyle w:val="Compact"/>
        <w:numPr>
          <w:ilvl w:val="0"/>
          <w:numId w:val="1010"/>
        </w:numPr>
      </w:pPr>
      <w:r>
        <w:t xml:space="preserve">Direccion Tecnica aprueba acta de cierre con causa raiz, CAPA y lecciones aprendidas.</w:t>
      </w:r>
    </w:p>
    <w:bookmarkEnd w:id="30"/>
    <w:bookmarkEnd w:id="31"/>
    <w:bookmarkStart w:id="32" w:name="indicadores-minimos"/>
    <w:p>
      <w:pPr>
        <w:pStyle w:val="Heading2"/>
      </w:pPr>
      <w:r>
        <w:t xml:space="preserve">8. INDICADORES MINIMOS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activacion comite</w:t>
            </w:r>
          </w:p>
        </w:tc>
        <w:tc>
          <w:tcPr/>
          <w:p>
            <w:pPr>
              <w:pStyle w:val="Compact"/>
            </w:pPr>
            <w:r>
              <w:t xml:space="preserve">&lt;= 4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primera notificacion clientes</w:t>
            </w:r>
          </w:p>
        </w:tc>
        <w:tc>
          <w:tcPr/>
          <w:p>
            <w:pPr>
              <w:pStyle w:val="Compact"/>
            </w:pPr>
            <w:r>
              <w:t xml:space="preserve">&lt;= 24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contacto clientes afectados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documental por lote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32"/>
    <w:bookmarkStart w:id="33" w:name="registros-asociados"/>
    <w:p>
      <w:pPr>
        <w:pStyle w:val="Heading2"/>
      </w:pPr>
      <w:r>
        <w:t xml:space="preserve">9. REGISTROS ASOCIADOS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Formato_Activacion_Recall_3.16A_V1.csv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Registro_Trazabilidad_Recall_3.16A_V1.csv</w:t>
      </w:r>
    </w:p>
    <w:bookmarkEnd w:id="33"/>
    <w:bookmarkStart w:id="34" w:name="anexos"/>
    <w:p>
      <w:pPr>
        <w:pStyle w:val="Heading2"/>
      </w:pPr>
      <w:r>
        <w:t xml:space="preserve">10. ANEXOS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ANX_3.16A_01_Niveles_Recall.md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ANX_3.16A_02_Guion_Comunicacion_Recall.md</w:t>
      </w:r>
    </w:p>
    <w:bookmarkEnd w:id="34"/>
    <w:bookmarkStart w:id="35" w:name="control-de-cambios"/>
    <w:p>
      <w:pPr>
        <w:pStyle w:val="Heading2"/>
      </w:pPr>
      <w:r>
        <w:t xml:space="preserve">11.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2026-03-04</w:t>
            </w:r>
          </w:p>
        </w:tc>
        <w:tc>
          <w:tcPr/>
          <w:p>
            <w:pPr>
              <w:pStyle w:val="Compact"/>
            </w:pPr>
            <w:r>
              <w:t xml:space="preserve">Emision inicial para cierre de brecha de retiro de producto.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2026-05-24T16:26:41Z</dcterms:created>
  <dcterms:modified xsi:type="dcterms:W3CDTF">2026-05-24T16:26:41Z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