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PROCEDIMIENTO OPERATIVO ESTANDARIZADO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ESTRATEGIA POSTVENTA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VIGENCIA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PROXIMA REVISION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POE-3.16B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2026-03-17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meses o ante cambio regulatorio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1. OBJETIVO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Establecer los lineamientos para la gestion postventa de Calferquim SAS, asegurando el acompanamiento tecnico al cliente, la trazabilidad de los productos entregados, la resolucion oportuna de incidencias y la mejora continua del servicio, una vez el fertilizante granulado o producto terminado ha sido despachado.</w:t>
      </w:r>
    </w:p>
    <w:p>
      <w:pPr>
        <w:pStyle w:val="Heading1"/>
      </w:pPr>
      <w:r>
        <w:t xml:space="preserve">2. ALCANCE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Aplica a todos los fertilizantes granulados, mezclas fisicas, productos especializados y formulaciones de terceros fabricados o comercializados por Calferquim SAS, desde el momento de la entrega al cliente (distribuidor, almacen agropecuario, agroindustrial o agricultor) hasta el cierre del ciclo de uso o aplicacion en campo.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Incluye: soporte tecnico, seguimiento de satisfaccion, gestion de devoluciones, investigacion de no conformidades postventa y activacion de retiros cuando aplique.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No aplica a producto de terceros comercializado bajo marca ajena sin acuerdo contractual.</w:t>
      </w:r>
    </w:p>
    <w:p>
      <w:pPr>
        <w:pStyle w:val="Heading1"/>
      </w:pPr>
      <w:r>
        <w:t xml:space="preserve">3. DEFINICIONES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Postventa</w:t>
      </w:r>
      <w:r>
        <w:rPr>
          <w:rFonts w:ascii="Arial" w:cs="Arial" w:eastAsia="Arial" w:hAnsi="Arial"/>
          <w:sz w:val="20"/>
          <w:szCs w:val="20"/>
        </w:rPr>
        <w:t xml:space="preserve">: Toda actividad realizada despues de la entrega del producto al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Soporte tecnico</w:t>
      </w:r>
      <w:r>
        <w:rPr>
          <w:rFonts w:ascii="Arial" w:cs="Arial" w:eastAsia="Arial" w:hAnsi="Arial"/>
          <w:sz w:val="20"/>
          <w:szCs w:val="20"/>
        </w:rPr>
        <w:t xml:space="preserve">: Orientacion al cliente sobre almacenamiento, dosificacion, aplicacion y compatibilidad del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conformidad postventa</w:t>
      </w:r>
      <w:r>
        <w:rPr>
          <w:rFonts w:ascii="Arial" w:cs="Arial" w:eastAsia="Arial" w:hAnsi="Arial"/>
          <w:sz w:val="20"/>
          <w:szCs w:val="20"/>
        </w:rPr>
        <w:t xml:space="preserve">: Desviacion detectada despues de la entrega (composicion, granulometria, apelmazamiento, empaque, peso).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Contramuestra</w:t>
      </w:r>
      <w:r>
        <w:rPr>
          <w:rFonts w:ascii="Arial" w:cs="Arial" w:eastAsia="Arial" w:hAnsi="Arial"/>
          <w:sz w:val="20"/>
          <w:szCs w:val="20"/>
        </w:rPr>
        <w:t xml:space="preserve">: Muestra retenida del lote en muestroteca conforme POE-3.14.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Devolucion</w:t>
      </w:r>
      <w:r>
        <w:rPr>
          <w:rFonts w:ascii="Arial" w:cs="Arial" w:eastAsia="Arial" w:hAnsi="Arial"/>
          <w:sz w:val="20"/>
          <w:szCs w:val="20"/>
        </w:rPr>
        <w:t xml:space="preserve">: Retorno fisico de producto por el cliente, sujeto a verificacion y autorizacion.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CSAT</w:t>
      </w:r>
      <w:r>
        <w:rPr>
          <w:rFonts w:ascii="Arial" w:cs="Arial" w:eastAsia="Arial" w:hAnsi="Arial"/>
          <w:sz w:val="20"/>
          <w:szCs w:val="20"/>
        </w:rPr>
        <w:t xml:space="preserve">: Indice de satisfaccion del cliente medido por encuesta.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Certificado de Liberacion al Mercado</w:t>
      </w:r>
      <w:r>
        <w:rPr>
          <w:rFonts w:ascii="Arial" w:cs="Arial" w:eastAsia="Arial" w:hAnsi="Arial"/>
          <w:sz w:val="20"/>
          <w:szCs w:val="20"/>
        </w:rPr>
        <w:t xml:space="preserve">: Documento emitido por Calidad que confirma que un lote cumple especificaciones fisicoquimicas, de empaque y etiquetado antes de su despacho.</w:t>
      </w:r>
    </w:p>
    <w:p>
      <w:pPr>
        <w:pStyle w:val="Heading1"/>
      </w:pPr>
      <w:r>
        <w:t xml:space="preserve">4. DOCUMENTOS DE REFERENCIA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POE-3.16 Servicio al Cliente y PQR.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POE-3.16A Retiro de Producto (Recall).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POE-3.14 Contramuestras.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POE-3.11 Codificacion de Lotes.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POE-3.13 Muestreo y Control de Calidad.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Resolucion ICA 150/2003 (Art. 7, num. 2 y 3).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Ley 1480/2011 Estatuto del Consumidor.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ISO 9001:2015 Clausulas 8.5.5, 8.7, 9.1.2, 10.2.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Codigo FAO 2019 sobre Uso Sostenible de Fertilizantes.</w:t>
      </w:r>
    </w:p>
    <w:p>
      <w:pPr>
        <w:pStyle w:val="Heading1"/>
      </w:pPr>
      <w:r>
        <w:t xml:space="preserve">5. RESPONSABILIDADES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 General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Aprobar la estrategia postventa y asignar recursos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Direccion Tecnica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Supervisar soporte tecnico y validar respuestas criticas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Calidad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Investigar no conformidades, gestionar CAPA, coordinar analisis de laboratorio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 al Cliente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Canalizar comunicaciones, aplicar encuestas, registrar incidencias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Logistica/Almacen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Ejecutar devoluciones y logistica inversa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Produccion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Proveer informacion de trazabilidad de lotes y apoyar investigaciones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6. ESTRATEGIA POSTVENTA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La estrategia se estructura en cinco lineas de accion:</w:t>
      </w:r>
    </w:p>
    <w:p>
      <w:pPr>
        <w:pStyle w:val="Heading2"/>
      </w:pPr>
      <w:r>
        <w:t xml:space="preserve">6.1 Comunicacion y soporte tecnico al cliente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 producto despachado debe ir acompanado del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Certificado de Liberacion al Mercado</w:t>
      </w:r>
      <w:r>
        <w:rPr>
          <w:rFonts w:ascii="Arial" w:cs="Arial" w:eastAsia="Arial" w:hAnsi="Arial"/>
          <w:sz w:val="20"/>
          <w:szCs w:val="20"/>
        </w:rPr>
        <w:t xml:space="preserve"> emitido por Calidad, el cual confirma que el lote cumple con las especificaciones fisicoquimicas, de empaque y de etiquetado antes de su entrega al cliente. Sin este certificado, el producto no puede ser despachado.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Calferquim mantiene disponibles para el cliente: certificado de liberacion al mercado, ficha tecnica, hoja de seguridad (cuando aplique), etiqueta con composicion garantizada y recomendaciones de uso.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canales de atencion son: telefono, correo electronico, WhatsApp y atencion directa del asesor comercial.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asesor comercial orienta al cliente en:</w:t>
      </w:r>
    </w:p>
    <w:p>
      <w:pPr>
        <w:pStyle w:val="ListParagraph"/>
        <w:numPr>
          <w:ilvl w:val="1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Condiciones de almacenamiento (estibas, cubierta plastica, ventilacion, rotacion FIFO, tiempo maximo en bodega).</w:t>
      </w:r>
    </w:p>
    <w:p>
      <w:pPr>
        <w:pStyle w:val="ListParagraph"/>
        <w:numPr>
          <w:ilvl w:val="1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Dosificacion y metodo de aplicacion segun cultivo.</w:t>
      </w:r>
    </w:p>
    <w:p>
      <w:pPr>
        <w:pStyle w:val="ListParagraph"/>
        <w:numPr>
          <w:ilvl w:val="1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Compatibilidad de mezclas y precauciones de manipulacion.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Toda consulta tecnica recibida se registra en Registro_Consultas_Tecnicas_V1.csv.</w:t>
      </w:r>
    </w:p>
    <w:p>
      <w:pPr>
        <w:pStyle w:val="Heading2"/>
      </w:pPr>
      <w:r>
        <w:t xml:space="preserve">6.2 Trazabilidad postventa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Cada despacho queda vinculado al codigo de lote (conforme POE-3.11), certificado de liberacion al mercado, factura, guia de transporte y cliente destino.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conserva contramuestra del lote en muestroteca por minimo 12 meses (conforme POE-3.14).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Ante un reclamo, se localiza la contramuestra y los registros de produccion del lote para cruzar informacion.</w:t>
      </w:r>
    </w:p>
    <w:p>
      <w:pPr>
        <w:pStyle w:val="Heading2"/>
      </w:pPr>
      <w:r>
        <w:t xml:space="preserve">6.3 Gestion de reclamos e investigacion de no conformidades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0"/>
          <w:szCs w:val="20"/>
        </w:rPr>
        <w:t xml:space="preserve">Este componente opera conforme al POE-3.16 (Servicio al Cliente y PQR). Se complementa con: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Recepcion</w:t>
      </w:r>
      <w:r>
        <w:rPr>
          <w:rFonts w:ascii="Arial" w:cs="Arial" w:eastAsia="Arial" w:hAnsi="Arial"/>
          <w:sz w:val="20"/>
          <w:szCs w:val="20"/>
        </w:rPr>
        <w:t xml:space="preserve">: El cliente reporta la incidencia por cualquier canal. Servicio al Cliente asigna consecutivo.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Clasificacion por tipo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Calidad quimica (desviacion en composicion garantizada).</w:t>
      </w:r>
    </w:p>
    <w:p>
      <w:pPr>
        <w:pStyle w:val="ListParagraph"/>
        <w:numPr>
          <w:ilvl w:val="1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Calidad fisica (apelmazamiento, polvo excesivo, granulometria fuera de rango).</w:t>
      </w:r>
    </w:p>
    <w:p>
      <w:pPr>
        <w:pStyle w:val="ListParagraph"/>
        <w:numPr>
          <w:ilvl w:val="1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Empaque/peso/etiqueta.</w:t>
      </w:r>
    </w:p>
    <w:p>
      <w:pPr>
        <w:pStyle w:val="ListParagraph"/>
        <w:numPr>
          <w:ilvl w:val="1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Logistica (dano en transporte, demora, entrega erronea).</w:t>
      </w:r>
    </w:p>
    <w:p>
      <w:pPr>
        <w:pStyle w:val="ListParagraph"/>
        <w:numPr>
          <w:ilvl w:val="1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Impacto agronomico (falta de respuesta en cultivo, fitotoxicidad sospechada).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Investigacion</w:t>
      </w:r>
      <w:r>
        <w:rPr>
          <w:rFonts w:ascii="Arial" w:cs="Arial" w:eastAsia="Arial" w:hAnsi="Arial"/>
          <w:sz w:val="20"/>
          <w:szCs w:val="20"/>
        </w:rPr>
        <w:t xml:space="preserve">: Calidad revisa contramuestra, registros de lote y condiciones de almacenamiento en destino. Si se requiere, se toma muestra del producto en poder del cliente siguiendo POE-3.13.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Dictamen</w:t>
      </w:r>
      <w:r>
        <w:rPr>
          <w:rFonts w:ascii="Arial" w:cs="Arial" w:eastAsia="Arial" w:hAnsi="Arial"/>
          <w:sz w:val="20"/>
          <w:szCs w:val="20"/>
        </w:rPr>
        <w:t xml:space="preserve">: Se determina causa raiz (5 Por Que o Ishikawa segun complejidad) y se emite respuesta al cliente.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</w:t>
      </w:r>
      <w:r>
        <w:rPr>
          <w:rFonts w:ascii="Arial" w:cs="Arial" w:eastAsia="Arial" w:hAnsi="Arial"/>
          <w:sz w:val="20"/>
          <w:szCs w:val="20"/>
        </w:rPr>
        <w:t xml:space="preserve">: Si la no conformidad es atribuible a Calferquim, se abre accion correctiva con verificacion de eficacia a 90 dias.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Escalamiento</w:t>
      </w:r>
      <w:r>
        <w:rPr>
          <w:rFonts w:ascii="Arial" w:cs="Arial" w:eastAsia="Arial" w:hAnsi="Arial"/>
          <w:sz w:val="20"/>
          <w:szCs w:val="20"/>
        </w:rPr>
        <w:t xml:space="preserve">: Si hay riesgo sanitario o multiples lotes afectados, se activa POE-3.16A (Recall).</w:t>
      </w:r>
    </w:p>
    <w:p>
      <w:pPr>
        <w:pStyle w:val="Heading2"/>
      </w:pPr>
      <w:r>
        <w:t xml:space="preserve">6.4 Devoluciones y logistica inversa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Elegibilidad</w:t>
      </w:r>
      <w:r>
        <w:rPr>
          <w:rFonts w:ascii="Arial" w:cs="Arial" w:eastAsia="Arial" w:hAnsi="Arial"/>
          <w:sz w:val="20"/>
          <w:szCs w:val="20"/>
        </w:rPr>
        <w:t xml:space="preserve">: Empaque integro, lote legible, evidencia de compra, producto dentro de vida util.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Flujo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Cliente solicita devolucion a Servicio al Cliente.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Calidad evalua procedencia y autoriza o rechaza con justificacion.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Logistica coordina recojo o recepcion en planta.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Almacen recibe, inspecciona y segrega el producto con etiqueta "HOLD - NO USAR".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Calidad determina disposicion: reintegro al inventario, reproceso o destruccion controlada.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registra en Registro_Devoluciones_V1.csv.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se acepta devolucion de producto reempacado o sin identificacion de lote.</w:t>
      </w:r>
    </w:p>
    <w:p>
      <w:pPr>
        <w:pStyle w:val="Heading2"/>
      </w:pPr>
      <w:r>
        <w:t xml:space="preserve">6.5 Seguimiento de satisfaccion del cliente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aplica encuesta de satisfaccion (CSAT) semestralmente a una muestra representativa de clientes.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encuesta evalua: calidad del producto, oportunidad de entrega, atencion del asesor y disposicion a recomendar.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resultados se consolidan y presentan a Gerencia como entrada a la revision por la direccion.</w:t>
      </w:r>
    </w:p>
    <w:p>
      <w:pPr>
        <w:pStyle w:val="Heading1"/>
      </w:pPr>
      <w:r>
        <w:t xml:space="preserve">7. INDICADORES DE DESEMPENO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950"/>
        <w:gridCol w:w="195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 de reclamos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(Reclamos / Ton vendidas) x 1.000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Tendencia a la baja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de respuesta inicial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Promedio dias habiles recepcion a primer contacto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2 dias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de resolucion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Promedio dias habiles recepcion a cierre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15 dias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 de devoluciones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(Ton devueltas / Ton vendidas) x 100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0.5%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Eficacia AC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(AC verificadas efectivas / Total AC) x 100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90%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CSAT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Promedio encuesta (escala 1-5)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4.0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Semestral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8. REGISTROS ASOCIADOS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Registro_Consultas_Tecnicas_V1.csv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Registro_Devoluciones_V1.csv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Formato_Registro_PQR_V1.csv (existente, POE-3.16)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Registro_Seguimiento_PQR_V1.csv (existente, POE-3.16)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Encuesta de satisfaccion (formato por definir)</w:t>
      </w:r>
    </w:p>
    <w:p>
      <w:pPr>
        <w:pStyle w:val="Heading1"/>
      </w:pPr>
      <w:r>
        <w:t xml:space="preserve">9. ANEXOS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Anexo 1: Flujo general de la estrategia postventa (ANX_3.16B_01).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Anexo 2: Formato de encuesta de satisfaccion (ANX_3.16B_02).</w:t>
      </w:r>
    </w:p>
    <w:p>
      <w:pPr>
        <w:pStyle w:val="Heading1"/>
      </w:pPr>
      <w:r>
        <w:t xml:space="preserve">10. CONTROL DE CAMBIOS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950"/>
        <w:gridCol w:w="6240"/>
      </w:tblGrid>
      <w:tr>
        <w:trPr>
          <w:tblHeader/>
        </w:trP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2026-03-17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Emision inicial. Integra lineamientos de gestion postventa complementarios al POE-3.16.</w:t>
            </w:r>
          </w:p>
        </w:tc>
      </w:tr>
      <w:tr>
        <w:tc>
          <w:tcPr>
            <w:tcW w:type="dxa" w:w="11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1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2026-03-17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incorpora requisito de Certificado de Liberacion al Mercado como condicion de despacho.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CALFERQUIM SAS</w:t>
    </w:r>
    <w:r>
      <w:rPr>
        <w:rFonts w:ascii="Arial" w:cs="Arial" w:eastAsia="Arial" w:hAnsi="Arial"/>
        <w:color w:val="666666"/>
        <w:sz w:val="16"/>
        <w:szCs w:val="16"/>
      </w:rPr>
      <w:t xml:space="preserve">  |  POE-3.16B v02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2026-03-17T17:20:48.782Z</dcterms:created>
  <dcterms:modified xsi:type="dcterms:W3CDTF">2026-03-17T17:20:48.782Z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