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86baf8a6479a19703d437caeed56d85ac0c413"/>
    <w:p>
      <w:pPr>
        <w:pStyle w:val="Heading3"/>
      </w:pPr>
      <w:r>
        <w:t xml:space="preserve">Strategic Analysis: Evolution of the Quality Management System (QMS) under ICA Regulations</w:t>
      </w:r>
    </w:p>
    <w:bookmarkStart w:id="9" w:name="Xc665f28dbfeeacee08a1ed84b7aac7d3d753276"/>
    <w:p>
      <w:pPr>
        <w:pStyle w:val="Heading5"/>
      </w:pPr>
      <w:r>
        <w:t xml:space="preserve">1. Regulatory Context and Strategic Imperative</w:t>
      </w:r>
    </w:p>
    <w:p>
      <w:pPr>
        <w:pStyle w:val="FirstParagraph"/>
      </w:pPr>
      <w:r>
        <w:t xml:space="preserve">The Colombian agricultural input sector is navigating a pivotal transition from the legacy framework of</w:t>
      </w:r>
      <w:r>
        <w:t xml:space="preserve"> </w:t>
      </w:r>
      <w:r>
        <w:rPr>
          <w:b/>
          <w:bCs/>
        </w:rPr>
        <w:t xml:space="preserve">Resolution 150 of 2003</w:t>
      </w:r>
      <w:r>
        <w:t xml:space="preserve"> </w:t>
      </w:r>
      <w:r>
        <w:t xml:space="preserve">to the digital-first paradigm established by the</w:t>
      </w:r>
      <w:r>
        <w:t xml:space="preserve"> </w:t>
      </w:r>
      <w:r>
        <w:rPr>
          <w:b/>
          <w:bCs/>
        </w:rPr>
        <w:t xml:space="preserve">proposed pv0 resolution</w:t>
      </w:r>
      <w:r>
        <w:t xml:space="preserve"> </w:t>
      </w:r>
      <w:r>
        <w:t xml:space="preserve">. This evolution represents a strategic shift from passive administrative compliance—characterized by the submission of physical documents—to a rigorous, risk-based operational excellence model. Central to this change is the</w:t>
      </w:r>
      <w:r>
        <w:t xml:space="preserve"> </w:t>
      </w:r>
      <w:r>
        <w:rPr>
          <w:b/>
          <w:bCs/>
        </w:rPr>
        <w:t xml:space="preserve">SimplifICA</w:t>
      </w:r>
      <w:r>
        <w:t xml:space="preserve"> </w:t>
      </w:r>
      <w:r>
        <w:t xml:space="preserve">platform, which demands that quality management no longer be treated as a static archive, but as a dynamic, living system rooted in Good Manufacturing Practices (GMP) and Good Distribution Practices (GDP).The scope of this analysis specifically addresses the regulatory and operational impact on</w:t>
      </w:r>
      <w:r>
        <w:t xml:space="preserve"> </w:t>
      </w:r>
      <w:r>
        <w:rPr>
          <w:b/>
          <w:bCs/>
        </w:rPr>
        <w:t xml:space="preserve">Manufacturers, Formulators, and Importers</w:t>
      </w:r>
      <w:r>
        <w:t xml:space="preserve"> </w:t>
      </w:r>
      <w:r>
        <w:t xml:space="preserve">of agricultural fertilizers and soil conditioners. As the barrier to entry shifts from</w:t>
      </w:r>
      <w:r>
        <w:t xml:space="preserve"> </w:t>
      </w:r>
      <w:r>
        <w:t xml:space="preserve">“having a document”</w:t>
      </w:r>
      <w:r>
        <w:t xml:space="preserve"> </w:t>
      </w:r>
      <w:r>
        <w:t xml:space="preserve">to</w:t>
      </w:r>
      <w:r>
        <w:t xml:space="preserve"> </w:t>
      </w:r>
      <w:r>
        <w:t xml:space="preserve">“demonstrating a system,”</w:t>
      </w:r>
      <w:r>
        <w:t xml:space="preserve"> </w:t>
      </w:r>
      <w:r>
        <w:t xml:space="preserve">this analysis serves as a high-level roadmap for operational modernization and regulatory de-risking.</w:t>
      </w:r>
    </w:p>
    <w:bookmarkEnd w:id="9"/>
    <w:bookmarkStart w:id="10" w:name="X76d1309abf680dbf2a68e0bbb5696078a169977"/>
    <w:p>
      <w:pPr>
        <w:pStyle w:val="Heading5"/>
      </w:pPr>
      <w:r>
        <w:t xml:space="preserve">2. Analysis of Quality Management Requirements under Resolution 150 of 2003</w:t>
      </w:r>
    </w:p>
    <w:p>
      <w:pPr>
        <w:pStyle w:val="FirstParagraph"/>
      </w:pPr>
      <w:r>
        <w:t xml:space="preserve">Resolution 150 (R150) operated under a regulatory philosophy of</w:t>
      </w:r>
      <w:r>
        <w:t xml:space="preserve"> </w:t>
      </w:r>
      <w:r>
        <w:t xml:space="preserve">“paper-based”</w:t>
      </w:r>
      <w:r>
        <w:t xml:space="preserve"> </w:t>
      </w:r>
      <w:r>
        <w:t xml:space="preserve">oversight. It relied on the submission of physical contracts and fundamental descriptions of production activities to grant indefinite registrations. The legacy Quality Management System (SGC) requirements, synthesized from Chapters III and IV, included:</w:t>
      </w:r>
    </w:p>
    <w:p>
      <w:pPr>
        <w:pStyle w:val="Compact"/>
        <w:numPr>
          <w:ilvl w:val="0"/>
          <w:numId w:val="1001"/>
        </w:numPr>
      </w:pPr>
      <w:r>
        <w:rPr>
          <w:b/>
          <w:bCs/>
        </w:rPr>
        <w:t xml:space="preserve">Physical Contractual Proof:</w:t>
      </w:r>
      <w:r>
        <w:t xml:space="preserve"> </w:t>
      </w:r>
      <w:r>
        <w:t xml:space="preserve">Mandatory submission of physical copies of Technical Direction, production, and quality control contracts.</w:t>
      </w:r>
      <w:r>
        <w:br/>
      </w:r>
    </w:p>
    <w:p>
      <w:pPr>
        <w:pStyle w:val="Compact"/>
        <w:numPr>
          <w:ilvl w:val="0"/>
          <w:numId w:val="1001"/>
        </w:numPr>
      </w:pPr>
      <w:r>
        <w:rPr>
          <w:b/>
          <w:bCs/>
        </w:rPr>
        <w:t xml:space="preserve">Process Outlines:</w:t>
      </w:r>
      <w:r>
        <w:t xml:space="preserve"> </w:t>
      </w:r>
      <w:r>
        <w:t xml:space="preserve">Basic descriptions of physical operations, specifically milling, mixing, and homogenization.</w:t>
      </w:r>
      <w:r>
        <w:br/>
      </w:r>
    </w:p>
    <w:p>
      <w:pPr>
        <w:pStyle w:val="Compact"/>
        <w:numPr>
          <w:ilvl w:val="0"/>
          <w:numId w:val="1001"/>
        </w:numPr>
      </w:pPr>
      <w:r>
        <w:rPr>
          <w:b/>
          <w:bCs/>
        </w:rPr>
        <w:t xml:space="preserve">The Technical Director:</w:t>
      </w:r>
      <w:r>
        <w:t xml:space="preserve"> </w:t>
      </w:r>
      <w:r>
        <w:t xml:space="preserve">A designated professional responsible for installation, raw material selection, and general oversight.</w:t>
      </w:r>
      <w:r>
        <w:br/>
      </w:r>
    </w:p>
    <w:p>
      <w:pPr>
        <w:pStyle w:val="Compact"/>
        <w:numPr>
          <w:ilvl w:val="0"/>
          <w:numId w:val="1001"/>
        </w:numPr>
      </w:pPr>
      <w:r>
        <w:rPr>
          <w:b/>
          <w:bCs/>
        </w:rPr>
        <w:t xml:space="preserve">Infrastructure Verification:</w:t>
      </w:r>
      <w:r>
        <w:t xml:space="preserve"> </w:t>
      </w:r>
      <w:r>
        <w:t xml:space="preserve">Submission of facility croquis and mandatory technical visits to verify physical installations.R150 was inherently</w:t>
      </w:r>
      <w:r>
        <w:t xml:space="preserve"> </w:t>
      </w:r>
      <w:r>
        <w:t xml:space="preserve">“static.”</w:t>
      </w:r>
      <w:r>
        <w:t xml:space="preserve"> </w:t>
      </w:r>
      <w:r>
        <w:t xml:space="preserve">It lacked mandatory frequencies for internal quality controls and provided minimal guidance on residue management. While these requirements formed the baseline for current operations, they left critical gaps in traceability, environmental safety, and the digital interoperability required by modern trade standards.</w:t>
      </w:r>
    </w:p>
    <w:bookmarkEnd w:id="10"/>
    <w:bookmarkStart w:id="13" w:name="Xf5bf1eee777d077580fa420a098b0abaacf665b"/>
    <w:p>
      <w:pPr>
        <w:pStyle w:val="Heading5"/>
      </w:pPr>
      <w:r>
        <w:t xml:space="preserve">3. Deep Dive: High-Standard QMS Requirements in the New Resolution (pv0)</w:t>
      </w:r>
    </w:p>
    <w:p>
      <w:pPr>
        <w:pStyle w:val="FirstParagraph"/>
      </w:pPr>
      <w:r>
        <w:t xml:space="preserve">The pv0 framework introduces a high-standard SGC that mandates the adoption of GMP and GDP. This transition is anchored in the</w:t>
      </w:r>
      <w:r>
        <w:t xml:space="preserve"> </w:t>
      </w:r>
      <w:r>
        <w:rPr>
          <w:b/>
          <w:bCs/>
        </w:rPr>
        <w:t xml:space="preserve">SimplifICA</w:t>
      </w:r>
      <w:r>
        <w:t xml:space="preserve"> </w:t>
      </w:r>
      <w:r>
        <w:t xml:space="preserve">system, which automates management while increasing the burden of proof for operational integrity.</w:t>
      </w:r>
    </w:p>
    <w:bookmarkStart w:id="11" w:name="X5a0d123907add76eabc38265ce02c73490c055b"/>
    <w:p>
      <w:pPr>
        <w:pStyle w:val="Heading6"/>
      </w:pPr>
      <w:r>
        <w:rPr>
          <w:i/>
          <w:iCs/>
        </w:rPr>
        <w:t xml:space="preserve">The 18 Procedural Pillars (Annex I-A and I-B)</w:t>
      </w:r>
    </w:p>
    <w:p>
      <w:pPr>
        <w:pStyle w:val="FirstParagraph"/>
      </w:pPr>
      <w:r>
        <w:t xml:space="preserve">Entities must now formalize and document procedures, formats, and records for 18 specific points:</w:t>
      </w:r>
    </w:p>
    <w:p>
      <w:pPr>
        <w:pStyle w:val="Compact"/>
        <w:numPr>
          <w:ilvl w:val="0"/>
          <w:numId w:val="1002"/>
        </w:numPr>
      </w:pPr>
      <w:r>
        <w:rPr>
          <w:b/>
          <w:bCs/>
        </w:rPr>
        <w:t xml:space="preserve">Supplier Control:</w:t>
      </w:r>
      <w:r>
        <w:t xml:space="preserve"> </w:t>
      </w:r>
      <w:r>
        <w:t xml:space="preserve">Formal auditing and qualification of raw material providers.</w:t>
      </w:r>
      <w:r>
        <w:br/>
      </w:r>
    </w:p>
    <w:p>
      <w:pPr>
        <w:pStyle w:val="Compact"/>
        <w:numPr>
          <w:ilvl w:val="0"/>
          <w:numId w:val="1002"/>
        </w:numPr>
      </w:pPr>
      <w:r>
        <w:rPr>
          <w:b/>
          <w:bCs/>
        </w:rPr>
        <w:t xml:space="preserve">Raw Material Balance:</w:t>
      </w:r>
      <w:r>
        <w:t xml:space="preserve"> </w:t>
      </w:r>
      <w:r>
        <w:t xml:space="preserve">Rigorous accounting of inputs versus outputs.</w:t>
      </w:r>
      <w:r>
        <w:br/>
      </w:r>
    </w:p>
    <w:p>
      <w:pPr>
        <w:pStyle w:val="Compact"/>
        <w:numPr>
          <w:ilvl w:val="0"/>
          <w:numId w:val="1002"/>
        </w:numPr>
      </w:pPr>
      <w:r>
        <w:rPr>
          <w:b/>
          <w:bCs/>
        </w:rPr>
        <w:t xml:space="preserve">Lot Coding:</w:t>
      </w:r>
      <w:r>
        <w:t xml:space="preserve"> </w:t>
      </w:r>
      <w:r>
        <w:t xml:space="preserve">Standardized identification for every production cycle.</w:t>
      </w:r>
      <w:r>
        <w:br/>
      </w:r>
    </w:p>
    <w:p>
      <w:pPr>
        <w:pStyle w:val="Compact"/>
        <w:numPr>
          <w:ilvl w:val="0"/>
          <w:numId w:val="1002"/>
        </w:numPr>
      </w:pPr>
      <w:r>
        <w:rPr>
          <w:b/>
          <w:bCs/>
        </w:rPr>
        <w:t xml:space="preserve">Sampling Procedures:</w:t>
      </w:r>
      <w:r>
        <w:t xml:space="preserve"> </w:t>
      </w:r>
      <w:r>
        <w:t xml:space="preserve">Documented protocols for obtaining representative samples.</w:t>
      </w:r>
      <w:r>
        <w:br/>
      </w:r>
    </w:p>
    <w:p>
      <w:pPr>
        <w:pStyle w:val="Compact"/>
        <w:numPr>
          <w:ilvl w:val="0"/>
          <w:numId w:val="1002"/>
        </w:numPr>
      </w:pPr>
      <w:r>
        <w:rPr>
          <w:b/>
          <w:bCs/>
        </w:rPr>
        <w:t xml:space="preserve">Lot Liberation:</w:t>
      </w:r>
      <w:r>
        <w:t xml:space="preserve"> </w:t>
      </w:r>
      <w:r>
        <w:t xml:space="preserve">Formalized release of products only after quality verification.</w:t>
      </w:r>
      <w:r>
        <w:br/>
      </w:r>
    </w:p>
    <w:p>
      <w:pPr>
        <w:pStyle w:val="Compact"/>
        <w:numPr>
          <w:ilvl w:val="0"/>
          <w:numId w:val="1002"/>
        </w:numPr>
      </w:pPr>
      <w:r>
        <w:rPr>
          <w:b/>
          <w:bCs/>
        </w:rPr>
        <w:t xml:space="preserve">Counter-sample Storage:</w:t>
      </w:r>
      <w:r>
        <w:t xml:space="preserve"> </w:t>
      </w:r>
      <w:r>
        <w:t xml:space="preserve">Controlled archiving of samples for post-market surveillance.</w:t>
      </w:r>
      <w:r>
        <w:br/>
      </w:r>
    </w:p>
    <w:p>
      <w:pPr>
        <w:pStyle w:val="Compact"/>
        <w:numPr>
          <w:ilvl w:val="0"/>
          <w:numId w:val="1002"/>
        </w:numPr>
      </w:pPr>
      <w:r>
        <w:rPr>
          <w:b/>
          <w:bCs/>
        </w:rPr>
        <w:t xml:space="preserve">Equipment Maintenance:</w:t>
      </w:r>
      <w:r>
        <w:t xml:space="preserve"> </w:t>
      </w:r>
      <w:r>
        <w:t xml:space="preserve">Scheduled preventative and corrective maintenance.</w:t>
      </w:r>
      <w:r>
        <w:br/>
      </w:r>
    </w:p>
    <w:p>
      <w:pPr>
        <w:pStyle w:val="Compact"/>
        <w:numPr>
          <w:ilvl w:val="0"/>
          <w:numId w:val="1002"/>
        </w:numPr>
      </w:pPr>
      <w:r>
        <w:rPr>
          <w:b/>
          <w:bCs/>
        </w:rPr>
        <w:t xml:space="preserve">Calibration:</w:t>
      </w:r>
      <w:r>
        <w:t xml:space="preserve"> </w:t>
      </w:r>
      <w:r>
        <w:t xml:space="preserve">Certified calibration of all measurement and weighing instruments.</w:t>
      </w:r>
      <w:r>
        <w:br/>
      </w:r>
    </w:p>
    <w:p>
      <w:pPr>
        <w:pStyle w:val="Compact"/>
        <w:numPr>
          <w:ilvl w:val="0"/>
          <w:numId w:val="1002"/>
        </w:numPr>
      </w:pPr>
      <w:r>
        <w:rPr>
          <w:b/>
          <w:bCs/>
        </w:rPr>
        <w:t xml:space="preserve">Cleaning and Sanitation:</w:t>
      </w:r>
      <w:r>
        <w:t xml:space="preserve"> </w:t>
      </w:r>
      <w:r>
        <w:t xml:space="preserve">Rigorous hygiene protocols for facilities and equipment.</w:t>
      </w:r>
      <w:r>
        <w:br/>
      </w:r>
    </w:p>
    <w:p>
      <w:pPr>
        <w:pStyle w:val="Compact"/>
        <w:numPr>
          <w:ilvl w:val="0"/>
          <w:numId w:val="1002"/>
        </w:numPr>
      </w:pPr>
      <w:r>
        <w:rPr>
          <w:b/>
          <w:bCs/>
        </w:rPr>
        <w:t xml:space="preserve">Waste Management (Barreduras):</w:t>
      </w:r>
      <w:r>
        <w:t xml:space="preserve"> </w:t>
      </w:r>
      <w:r>
        <w:t xml:space="preserve">Specific protocols for handling production residues.</w:t>
      </w:r>
      <w:r>
        <w:br/>
      </w:r>
    </w:p>
    <w:p>
      <w:pPr>
        <w:pStyle w:val="Compact"/>
        <w:numPr>
          <w:ilvl w:val="0"/>
          <w:numId w:val="1002"/>
        </w:numPr>
      </w:pPr>
      <w:r>
        <w:rPr>
          <w:b/>
          <w:bCs/>
        </w:rPr>
        <w:t xml:space="preserve">Personnel Training:</w:t>
      </w:r>
      <w:r>
        <w:t xml:space="preserve"> </w:t>
      </w:r>
      <w:r>
        <w:t xml:space="preserve">Continuous education on quality and safety protocols.</w:t>
      </w:r>
      <w:r>
        <w:br/>
      </w:r>
    </w:p>
    <w:p>
      <w:pPr>
        <w:pStyle w:val="Compact"/>
        <w:numPr>
          <w:ilvl w:val="0"/>
          <w:numId w:val="1002"/>
        </w:numPr>
      </w:pPr>
      <w:r>
        <w:rPr>
          <w:b/>
          <w:bCs/>
        </w:rPr>
        <w:t xml:space="preserve">Document Control:</w:t>
      </w:r>
      <w:r>
        <w:t xml:space="preserve"> </w:t>
      </w:r>
      <w:r>
        <w:t xml:space="preserve">Management of the QMS lifecycle (creation, approval, obsolescence).</w:t>
      </w:r>
      <w:r>
        <w:br/>
      </w:r>
    </w:p>
    <w:p>
      <w:pPr>
        <w:pStyle w:val="Compact"/>
        <w:numPr>
          <w:ilvl w:val="0"/>
          <w:numId w:val="1002"/>
        </w:numPr>
      </w:pPr>
      <w:r>
        <w:rPr>
          <w:b/>
          <w:bCs/>
        </w:rPr>
        <w:t xml:space="preserve">Product Recall/Traceability:</w:t>
      </w:r>
      <w:r>
        <w:t xml:space="preserve"> </w:t>
      </w:r>
      <w:r>
        <w:t xml:space="preserve">Rapid response protocols for market withdrawals.</w:t>
      </w:r>
      <w:r>
        <w:br/>
      </w:r>
    </w:p>
    <w:p>
      <w:pPr>
        <w:pStyle w:val="Compact"/>
        <w:numPr>
          <w:ilvl w:val="0"/>
          <w:numId w:val="1002"/>
        </w:numPr>
      </w:pPr>
      <w:r>
        <w:rPr>
          <w:b/>
          <w:bCs/>
        </w:rPr>
        <w:t xml:space="preserve">Customer Service (PQR):</w:t>
      </w:r>
      <w:r>
        <w:t xml:space="preserve"> </w:t>
      </w:r>
      <w:r>
        <w:t xml:space="preserve">Formalized handling of complaints with defined response times.</w:t>
      </w:r>
      <w:r>
        <w:br/>
      </w:r>
    </w:p>
    <w:p>
      <w:pPr>
        <w:pStyle w:val="Compact"/>
        <w:numPr>
          <w:ilvl w:val="0"/>
          <w:numId w:val="1002"/>
        </w:numPr>
      </w:pPr>
      <w:r>
        <w:rPr>
          <w:b/>
          <w:bCs/>
        </w:rPr>
        <w:t xml:space="preserve">Internal Audits:</w:t>
      </w:r>
      <w:r>
        <w:t xml:space="preserve"> </w:t>
      </w:r>
      <w:r>
        <w:t xml:space="preserve">Periodic self-assessment of the QMS.</w:t>
      </w:r>
      <w:r>
        <w:br/>
      </w:r>
    </w:p>
    <w:p>
      <w:pPr>
        <w:pStyle w:val="Compact"/>
        <w:numPr>
          <w:ilvl w:val="0"/>
          <w:numId w:val="1002"/>
        </w:numPr>
      </w:pPr>
      <w:r>
        <w:rPr>
          <w:b/>
          <w:bCs/>
        </w:rPr>
        <w:t xml:space="preserve">Laboratory Management:</w:t>
      </w:r>
      <w:r>
        <w:t xml:space="preserve"> </w:t>
      </w:r>
      <w:r>
        <w:t xml:space="preserve">Oversight of internal or contracted analytical services.</w:t>
      </w:r>
      <w:r>
        <w:br/>
      </w:r>
    </w:p>
    <w:p>
      <w:pPr>
        <w:pStyle w:val="Compact"/>
        <w:numPr>
          <w:ilvl w:val="0"/>
          <w:numId w:val="1002"/>
        </w:numPr>
      </w:pPr>
      <w:r>
        <w:rPr>
          <w:b/>
          <w:bCs/>
        </w:rPr>
        <w:t xml:space="preserve">Production Process Controls:</w:t>
      </w:r>
      <w:r>
        <w:t xml:space="preserve"> </w:t>
      </w:r>
      <w:r>
        <w:t xml:space="preserve">Real-time monitoring of milling, mixing, and granulation.</w:t>
      </w:r>
      <w:r>
        <w:br/>
      </w:r>
    </w:p>
    <w:p>
      <w:pPr>
        <w:pStyle w:val="Compact"/>
        <w:numPr>
          <w:ilvl w:val="0"/>
          <w:numId w:val="1002"/>
        </w:numPr>
      </w:pPr>
      <w:r>
        <w:rPr>
          <w:b/>
          <w:bCs/>
        </w:rPr>
        <w:t xml:space="preserve">Facility Maintenance and Hygiene:</w:t>
      </w:r>
      <w:r>
        <w:t xml:space="preserve"> </w:t>
      </w:r>
      <w:r>
        <w:t xml:space="preserve">General upkeep of the industrial environment.</w:t>
      </w:r>
    </w:p>
    <w:bookmarkEnd w:id="11"/>
    <w:bookmarkStart w:id="12" w:name="technical-and-environmental-mandates"/>
    <w:p>
      <w:pPr>
        <w:pStyle w:val="Heading6"/>
      </w:pPr>
      <w:r>
        <w:rPr>
          <w:i/>
          <w:iCs/>
        </w:rPr>
        <w:t xml:space="preserve">Technical and Environmental Mandates</w:t>
      </w:r>
    </w:p>
    <w:p>
      <w:pPr>
        <w:pStyle w:val="FirstParagraph"/>
      </w:pPr>
      <w:r>
        <w:t xml:space="preserve">The pv0 resolution shifts the</w:t>
      </w:r>
      <w:r>
        <w:t xml:space="preserve"> </w:t>
      </w:r>
      <w:r>
        <w:t xml:space="preserve">“Technical Director”</w:t>
      </w:r>
      <w:r>
        <w:t xml:space="preserve"> </w:t>
      </w:r>
      <w:r>
        <w:t xml:space="preserve">to a</w:t>
      </w:r>
      <w:r>
        <w:t xml:space="preserve"> </w:t>
      </w:r>
      <w:r>
        <w:rPr>
          <w:b/>
          <w:bCs/>
        </w:rPr>
        <w:t xml:space="preserve">“Technical Advisor”</w:t>
      </w:r>
      <w:r>
        <w:t xml:space="preserve"> </w:t>
      </w:r>
      <w:r>
        <w:t xml:space="preserve">(Art 3.4), a role requiring</w:t>
      </w:r>
      <w:r>
        <w:t xml:space="preserve"> </w:t>
      </w:r>
      <w:r>
        <w:rPr>
          <w:b/>
          <w:bCs/>
        </w:rPr>
        <w:t xml:space="preserve">permanent accompaniment</w:t>
      </w:r>
      <w:r>
        <w:t xml:space="preserve"> </w:t>
      </w:r>
      <w:r>
        <w:t xml:space="preserve">at the facility. This significantly increases contractual liability and operational costs. Furthermore, Article 12.3 introduces a strict</w:t>
      </w:r>
      <w:r>
        <w:t xml:space="preserve"> </w:t>
      </w:r>
      <w:r>
        <w:rPr>
          <w:b/>
          <w:bCs/>
        </w:rPr>
        <w:t xml:space="preserve">prohibition on the use of</w:t>
      </w:r>
      <w:r>
        <w:rPr>
          <w:b/>
          <w:bCs/>
        </w:rPr>
        <w:t xml:space="preserve"> </w:t>
      </w:r>
      <w:r>
        <w:rPr>
          <w:b/>
          <w:bCs/>
        </w:rPr>
        <w:t xml:space="preserve">“barreduras”</w:t>
      </w:r>
      <w:r>
        <w:rPr>
          <w:b/>
          <w:bCs/>
        </w:rPr>
        <w:t xml:space="preserve"> </w:t>
      </w:r>
      <w:r>
        <w:rPr>
          <w:b/>
          <w:bCs/>
        </w:rPr>
        <w:t xml:space="preserve">(sweepings)</w:t>
      </w:r>
      <w:r>
        <w:t xml:space="preserve"> </w:t>
      </w:r>
      <w:r>
        <w:t xml:space="preserve">in fertilizer production. Liquid waste and residues must have documented disposal protocols, ensuring no contaminated material re-enters the production chain.Importantly, laboratory requirements have been hardened. All internal and contracted labs must be ICA-registered for the specific parameters being analyzed. For importers,</w:t>
      </w:r>
      <w:r>
        <w:t xml:space="preserve"> </w:t>
      </w:r>
      <w:r>
        <w:rPr>
          <w:b/>
          <w:bCs/>
        </w:rPr>
        <w:t xml:space="preserve">analysis from foreign laboratories is only valid if the foreign laboratory itself is registered with the ICA</w:t>
      </w:r>
      <w:r>
        <w:t xml:space="preserve"> </w:t>
      </w:r>
      <w:r>
        <w:t xml:space="preserve">(Art 26.13), a major hurdle for global supply chains.</w:t>
      </w:r>
    </w:p>
    <w:bookmarkEnd w:id="12"/>
    <w:bookmarkEnd w:id="13"/>
    <w:bookmarkStart w:id="16" w:name="X0fc02ebf62fd1787fdd85a0272ab8bebd946c05"/>
    <w:p>
      <w:pPr>
        <w:pStyle w:val="Heading5"/>
      </w:pPr>
      <w:r>
        <w:t xml:space="preserve">4. Comparative Diagnostic: Current Calferquim QMS vs. Regulatory Benchmarks</w:t>
      </w:r>
    </w:p>
    <w:p>
      <w:pPr>
        <w:pStyle w:val="FirstParagraph"/>
      </w:pPr>
      <w:r>
        <w:t xml:space="preserve">Calferquim’s current directory structure, containing 2,043 files, reflects a system optimized for R150 but facing significant gaps under pv0.</w:t>
      </w:r>
    </w:p>
    <w:bookmarkStart w:id="14" w:name="table-3a-current-sgc-vs.-resolution-150"/>
    <w:p>
      <w:pPr>
        <w:pStyle w:val="Heading6"/>
      </w:pPr>
      <w:r>
        <w:rPr>
          <w:i/>
          <w:iCs/>
        </w:rPr>
        <w:t xml:space="preserve">Table 3a Current SGC vs. Resolution 150</w:t>
      </w:r>
    </w:p>
    <w:p>
      <w:pPr>
        <w:pStyle w:val="FirstParagraph"/>
      </w:pPr>
      <w:r>
        <w:t xml:space="preserve">R150 Requirement,Current Calferquim Status,Gap/Alignment Analysis</w:t>
      </w:r>
    </w:p>
    <w:p>
      <w:pPr>
        <w:pStyle w:val="BodyText"/>
      </w:pPr>
      <w:r>
        <w:t xml:space="preserve">Physical/Digital Contracts,</w:t>
      </w:r>
      <w:r>
        <w:t xml:space="preserve">“Managed in”</w:t>
      </w:r>
      <w:r>
        <w:t xml:space="preserve">“01 Documentacion Legal.”</w:t>
      </w:r>
      <w:r>
        <w:t xml:space="preserve">““,High alignment; legacy contracts are well-archived.</w:t>
      </w:r>
    </w:p>
    <w:p>
      <w:pPr>
        <w:pStyle w:val="BodyText"/>
      </w:pPr>
      <w:r>
        <w:t xml:space="preserve">Process Descriptions,</w:t>
      </w:r>
      <w:r>
        <w:t xml:space="preserve">“Folder”</w:t>
      </w:r>
      <w:r>
        <w:t xml:space="preserve">“03 Operacion”</w:t>
      </w:r>
      <w:r>
        <w:t xml:space="preserve">” (DC-SI##).”,Aligned; covers basic mixing and granulation.</w:t>
      </w:r>
    </w:p>
    <w:p>
      <w:pPr>
        <w:pStyle w:val="BodyText"/>
      </w:pPr>
      <w:r>
        <w:t xml:space="preserve">Technical Director,</w:t>
      </w:r>
      <w:r>
        <w:t xml:space="preserve">“Defined in”</w:t>
      </w:r>
      <w:r>
        <w:t xml:space="preserve">“04 Calidad.”</w:t>
      </w:r>
      <w:r>
        <w:t xml:space="preserve">““,Aligned with legacy administrative role.</w:t>
      </w:r>
    </w:p>
    <w:p>
      <w:pPr>
        <w:pStyle w:val="BodyText"/>
      </w:pPr>
      <w:r>
        <w:t xml:space="preserve">Facility Croquis,</w:t>
      </w:r>
      <w:r>
        <w:t xml:space="preserve">“Documented in”</w:t>
      </w:r>
      <w:r>
        <w:t xml:space="preserve">“04 Calidad”</w:t>
      </w:r>
      <w:r>
        <w:t xml:space="preserve">” / “</w:t>
      </w:r>
      <w:r>
        <w:t xml:space="preserve">“03 Operacion.”</w:t>
      </w:r>
      <w:r>
        <w:t xml:space="preserve">““,Fully aligned.</w:t>
      </w:r>
    </w:p>
    <w:bookmarkEnd w:id="14"/>
    <w:bookmarkStart w:id="15" w:name="X95443776f33e9fd063aac2164f7f924d28547fe"/>
    <w:p>
      <w:pPr>
        <w:pStyle w:val="Heading6"/>
      </w:pPr>
      <w:r>
        <w:rPr>
          <w:i/>
          <w:iCs/>
        </w:rPr>
        <w:t xml:space="preserve">Table 3b Current SGC vs. New Resolution (pv0)</w:t>
      </w:r>
    </w:p>
    <w:p>
      <w:pPr>
        <w:pStyle w:val="FirstParagraph"/>
      </w:pPr>
      <w:r>
        <w:t xml:space="preserve">New Mandate (pv0),Current Calferquim Asset,Strategic Action Required</w:t>
      </w:r>
    </w:p>
    <w:p>
      <w:pPr>
        <w:pStyle w:val="BodyText"/>
      </w:pPr>
      <w:r>
        <w:t xml:space="preserve">Digital Interoperability,</w:t>
      </w:r>
      <w:r>
        <w:t xml:space="preserve">“2,043 files (1,077 PDFs, 16 .xlsm).”</w:t>
      </w:r>
      <w:r>
        <w:t xml:space="preserve">,Categorize and tag all files into the 18 procedural bins for SimplifICA upload.</w:t>
      </w:r>
    </w:p>
    <w:p>
      <w:pPr>
        <w:pStyle w:val="BodyText"/>
      </w:pPr>
      <w:r>
        <w:t xml:space="preserve">Annual Quality Analysis,</w:t>
      </w:r>
      <w:r>
        <w:t xml:space="preserve">“Results in”</w:t>
      </w:r>
      <w:r>
        <w:t xml:space="preserve">“12 Resultados Externos.”</w:t>
      </w:r>
      <w:r>
        <w:t xml:space="preserve">““,Establish a formal annual schedule; verify that Dr. Calderon/Agrilab are ICA-registered for every parameter guaranteed (Art 11.9).</w:t>
      </w:r>
    </w:p>
    <w:p>
      <w:pPr>
        <w:pStyle w:val="BodyText"/>
      </w:pPr>
      <w:r>
        <w:t xml:space="preserve">““</w:t>
      </w:r>
      <w:r>
        <w:t xml:space="preserve">“Barreduras”</w:t>
      </w:r>
      <w:r>
        <w:t xml:space="preserve">” Prohibition”,““</w:t>
      </w:r>
      <w:r>
        <w:t xml:space="preserve">“02 Gestion Ambiental”</w:t>
      </w:r>
      <w:r>
        <w:t xml:space="preserve">” procedures.”,Update environmental protocols to explicitly ban sweepings; implement destruction logs.</w:t>
      </w:r>
    </w:p>
    <w:p>
      <w:pPr>
        <w:pStyle w:val="BodyText"/>
      </w:pPr>
      <w:r>
        <w:t xml:space="preserve">Procedural Expansion,</w:t>
      </w:r>
      <w:r>
        <w:t xml:space="preserve">“Folder”</w:t>
      </w:r>
      <w:r>
        <w:t xml:space="preserve">“03”</w:t>
      </w:r>
      <w:r>
        <w:t xml:space="preserve">” and “</w:t>
      </w:r>
      <w:r>
        <w:t xml:space="preserve">“04”</w:t>
      </w:r>
      <w:r>
        <w:t xml:space="preserve">” (DC-SI / PC-SI).”,</w:t>
      </w:r>
      <w:r>
        <w:t xml:space="preserve">“Convert”</w:t>
      </w:r>
      <w:r>
        <w:t xml:space="preserve">“DC-SI”</w:t>
      </w:r>
      <w:r>
        <w:t xml:space="preserve">” documents into CGC-POE (Quality Procedures) to match the 18-point GMP expansion.”</w:t>
      </w:r>
    </w:p>
    <w:p>
      <w:pPr>
        <w:pStyle w:val="BodyText"/>
      </w:pPr>
      <w:r>
        <w:t xml:space="preserve">NPK Compliance,16 .xlsm Verifiers (Folder 05).,</w:t>
      </w:r>
      <w:r>
        <w:t xml:space="preserve">“Audit macros to ensure minimums:</w:t>
      </w:r>
      <w:r>
        <w:t xml:space="preserve"> </w:t>
      </w:r>
      <w:r>
        <w:t xml:space="preserve">$10\\%$</w:t>
      </w:r>
      <w:r>
        <w:t xml:space="preserve"> </w:t>
      </w:r>
      <w:r>
        <w:t xml:space="preserve">(Single),</w:t>
      </w:r>
      <w:r>
        <w:t xml:space="preserve"> </w:t>
      </w:r>
      <w:r>
        <w:t xml:space="preserve">$18\\%$</w:t>
      </w:r>
      <w:r>
        <w:t xml:space="preserve"> </w:t>
      </w:r>
      <w:r>
        <w:t xml:space="preserve">(Solid Edaphic),</w:t>
      </w:r>
      <w:r>
        <w:t xml:space="preserve"> </w:t>
      </w:r>
      <w:r>
        <w:t xml:space="preserve">$15\\%$</w:t>
      </w:r>
      <w:r>
        <w:t xml:space="preserve"> </w:t>
      </w:r>
      <w:r>
        <w:t xml:space="preserve">(Fertigation).”</w:t>
      </w:r>
    </w:p>
    <w:p>
      <w:pPr>
        <w:pStyle w:val="BodyText"/>
      </w:pPr>
      <w:r>
        <w:rPr>
          <w:b/>
          <w:bCs/>
        </w:rPr>
        <w:t xml:space="preserve">The</w:t>
      </w:r>
      <w:r>
        <w:rPr>
          <w:b/>
          <w:bCs/>
        </w:rPr>
        <w:t xml:space="preserve"> </w:t>
      </w:r>
      <w:r>
        <w:rPr>
          <w:b/>
          <w:bCs/>
        </w:rPr>
        <w:t xml:space="preserve">“So What?”</w:t>
      </w:r>
      <w:r>
        <w:rPr>
          <w:b/>
          <w:bCs/>
        </w:rPr>
        <w:t xml:space="preserve"> </w:t>
      </w:r>
      <w:r>
        <w:rPr>
          <w:b/>
          <w:bCs/>
        </w:rPr>
        <w:t xml:space="preserve">Layer:</w:t>
      </w:r>
      <w:r>
        <w:t xml:space="preserve"> </w:t>
      </w:r>
      <w:r>
        <w:t xml:space="preserve">The transition from a folder-based repository to a digital-interoperable system is the primary challenge. Current nomenclature (DC-SI##) lacks the granularity to demonstrate compliance with the 18 procedural pillars of Annex I-B.</w:t>
      </w:r>
    </w:p>
    <w:bookmarkEnd w:id="15"/>
    <w:bookmarkEnd w:id="16"/>
    <w:bookmarkStart w:id="17" w:name="X7683aca2867c322d3db5df4f026dd83fdc2178c"/>
    <w:p>
      <w:pPr>
        <w:pStyle w:val="Heading5"/>
      </w:pPr>
      <w:r>
        <w:t xml:space="preserve">5. Transition Mechanics: From R150 to the Proposed Framework</w:t>
      </w:r>
    </w:p>
    <w:p>
      <w:pPr>
        <w:pStyle w:val="FirstParagraph"/>
      </w:pPr>
      <w:r>
        <w:t xml:space="preserve">Chapter VII of the pv0 resolution establishes a high-stakes migration path. Failure to navigate this window accurately poses an existential risk to the product portfolio.</w:t>
      </w:r>
    </w:p>
    <w:p>
      <w:pPr>
        <w:pStyle w:val="Compact"/>
        <w:numPr>
          <w:ilvl w:val="0"/>
          <w:numId w:val="1003"/>
        </w:numPr>
      </w:pPr>
      <w:r>
        <w:rPr>
          <w:b/>
          <w:bCs/>
        </w:rPr>
        <w:t xml:space="preserve">Six-Month Migration Window:</w:t>
      </w:r>
      <w:r>
        <w:t xml:space="preserve"> </w:t>
      </w:r>
      <w:r>
        <w:t xml:space="preserve">Entities have six months from the launch of SimplifICA to migrate all data.</w:t>
      </w:r>
      <w:r>
        <w:br/>
      </w:r>
    </w:p>
    <w:p>
      <w:pPr>
        <w:pStyle w:val="Compact"/>
        <w:numPr>
          <w:ilvl w:val="0"/>
          <w:numId w:val="1003"/>
        </w:numPr>
      </w:pPr>
      <w:r>
        <w:rPr>
          <w:b/>
          <w:bCs/>
        </w:rPr>
        <w:t xml:space="preserve">The</w:t>
      </w:r>
      <w:r>
        <w:rPr>
          <w:b/>
          <w:bCs/>
        </w:rPr>
        <w:t xml:space="preserve"> </w:t>
      </w:r>
      <w:r>
        <w:rPr>
          <w:b/>
          <w:bCs/>
        </w:rPr>
        <w:t xml:space="preserve">“Two-Strike”</w:t>
      </w:r>
      <w:r>
        <w:rPr>
          <w:b/>
          <w:bCs/>
        </w:rPr>
        <w:t xml:space="preserve"> </w:t>
      </w:r>
      <w:r>
        <w:rPr>
          <w:b/>
          <w:bCs/>
        </w:rPr>
        <w:t xml:space="preserve">Correction Rule:</w:t>
      </w:r>
      <w:r>
        <w:t xml:space="preserve"> </w:t>
      </w:r>
      <w:r>
        <w:t xml:space="preserve">If information is incorrect, the user has</w:t>
      </w:r>
      <w:r>
        <w:t xml:space="preserve"> </w:t>
      </w:r>
      <w:r>
        <w:rPr>
          <w:b/>
          <w:bCs/>
        </w:rPr>
        <w:t xml:space="preserve">15 business days</w:t>
      </w:r>
      <w:r>
        <w:t xml:space="preserve"> </w:t>
      </w:r>
      <w:r>
        <w:t xml:space="preserve">to fix it, with a possible</w:t>
      </w:r>
      <w:r>
        <w:t xml:space="preserve"> </w:t>
      </w:r>
      <w:r>
        <w:rPr>
          <w:b/>
          <w:bCs/>
        </w:rPr>
        <w:t xml:space="preserve">one-time 15-day extension</w:t>
      </w:r>
      <w:r>
        <w:t xml:space="preserve"> </w:t>
      </w:r>
      <w:r>
        <w:t xml:space="preserve">. If the second attempt fails, the registration is lost, necessitating a</w:t>
      </w:r>
      <w:r>
        <w:t xml:space="preserve"> </w:t>
      </w:r>
      <w:r>
        <w:rPr>
          <w:b/>
          <w:bCs/>
        </w:rPr>
        <w:t xml:space="preserve">“Nuevo Registro”</w:t>
      </w:r>
      <w:r>
        <w:t xml:space="preserve"> </w:t>
      </w:r>
      <w:r>
        <w:t xml:space="preserve">(New Registration).</w:t>
      </w:r>
      <w:r>
        <w:br/>
      </w:r>
    </w:p>
    <w:p>
      <w:pPr>
        <w:pStyle w:val="Compact"/>
        <w:numPr>
          <w:ilvl w:val="0"/>
          <w:numId w:val="1003"/>
        </w:numPr>
      </w:pPr>
      <w:r>
        <w:rPr>
          <w:b/>
          <w:bCs/>
        </w:rPr>
        <w:t xml:space="preserve">Strict Compositional Minimums:</w:t>
      </w:r>
      <w:r>
        <w:br/>
      </w:r>
    </w:p>
    <w:p>
      <w:pPr>
        <w:pStyle w:val="Compact"/>
        <w:numPr>
          <w:ilvl w:val="0"/>
          <w:numId w:val="1003"/>
        </w:numPr>
      </w:pPr>
      <w:r>
        <w:rPr>
          <w:b/>
          <w:bCs/>
        </w:rPr>
        <w:t xml:space="preserve">NPK:</w:t>
      </w:r>
      <w:r>
        <w:t xml:space="preserve"> </w:t>
      </w:r>
      <w:r>
        <w:t xml:space="preserve">Single nutrients must be</w:t>
      </w:r>
      <w:r>
        <w:t xml:space="preserve"> </w:t>
      </w:r>
      <w:r>
        <w:t xml:space="preserve">$\\ge 10\\%$</w:t>
      </w:r>
      <w:r>
        <w:t xml:space="preserve"> </w:t>
      </w:r>
      <w:r>
        <w:t xml:space="preserve">. Compound edaphic solids must be</w:t>
      </w:r>
      <w:r>
        <w:t xml:space="preserve"> </w:t>
      </w:r>
      <w:r>
        <w:t xml:space="preserve">$\\ge 18\\%$</w:t>
      </w:r>
      <w:r>
        <w:t xml:space="preserve"> </w:t>
      </w:r>
      <w:r>
        <w:t xml:space="preserve">; fertigation solids</w:t>
      </w:r>
      <w:r>
        <w:t xml:space="preserve"> </w:t>
      </w:r>
      <w:r>
        <w:t xml:space="preserve">$\\ge 15\\%$</w:t>
      </w:r>
      <w:r>
        <w:t xml:space="preserve"> </w:t>
      </w:r>
      <w:r>
        <w:t xml:space="preserve">.</w:t>
      </w:r>
      <w:r>
        <w:br/>
      </w:r>
    </w:p>
    <w:p>
      <w:pPr>
        <w:pStyle w:val="Compact"/>
        <w:numPr>
          <w:ilvl w:val="0"/>
          <w:numId w:val="1003"/>
        </w:numPr>
      </w:pPr>
      <w:r>
        <w:rPr>
          <w:b/>
          <w:bCs/>
        </w:rPr>
        <w:t xml:space="preserve">Heavy Metals:</w:t>
      </w:r>
      <w:r>
        <w:t xml:space="preserve"> </w:t>
      </w:r>
      <w:r>
        <w:t xml:space="preserve">Maximum limits are now non-negotiable: As (</w:t>
      </w:r>
      <w:r>
        <w:t xml:space="preserve"> </w:t>
      </w:r>
      <m:oMath>
        <m:r>
          <m:t>41</m:t>
        </m:r>
      </m:oMath>
      <w:r>
        <w:t xml:space="preserve"> </w:t>
      </w:r>
      <w:r>
        <w:t xml:space="preserve">mg/kg), Cd (</w:t>
      </w:r>
      <w:r>
        <w:t xml:space="preserve"> </w:t>
      </w:r>
      <m:oMath>
        <m:r>
          <m:t>39</m:t>
        </m:r>
      </m:oMath>
      <w:r>
        <w:t xml:space="preserve"> </w:t>
      </w:r>
      <w:r>
        <w:t xml:space="preserve">mg/kg), Pb (</w:t>
      </w:r>
      <w:r>
        <w:t xml:space="preserve"> </w:t>
      </w:r>
      <m:oMath>
        <m:r>
          <m:t>20</m:t>
        </m:r>
      </m:oMath>
      <w:r>
        <w:t xml:space="preserve"> </w:t>
      </w:r>
      <w:r>
        <w:t xml:space="preserve">mg/kg), and Ni (</w:t>
      </w:r>
      <w:r>
        <w:t xml:space="preserve"> </w:t>
      </w:r>
      <m:oMath>
        <m:r>
          <m:t>420</m:t>
        </m:r>
      </m:oMath>
      <w:r>
        <w:t xml:space="preserve"> </w:t>
      </w:r>
      <w:r>
        <w:t xml:space="preserve">mg/kg for organics).</w:t>
      </w:r>
      <w:r>
        <w:br/>
      </w:r>
    </w:p>
    <w:p>
      <w:pPr>
        <w:pStyle w:val="Compact"/>
        <w:numPr>
          <w:ilvl w:val="0"/>
          <w:numId w:val="1003"/>
        </w:numPr>
      </w:pPr>
      <w:r>
        <w:rPr>
          <w:b/>
          <w:bCs/>
        </w:rPr>
        <w:t xml:space="preserve">Technical Advisor Commitment:</w:t>
      </w:r>
      <w:r>
        <w:t xml:space="preserve"> </w:t>
      </w:r>
      <w:r>
        <w:t xml:space="preserve">Existing HR and legal contracts in folder</w:t>
      </w:r>
      <w:r>
        <w:t xml:space="preserve"> </w:t>
      </w:r>
      <w:r>
        <w:t xml:space="preserve">“01”</w:t>
      </w:r>
      <w:r>
        <w:t xml:space="preserve"> </w:t>
      </w:r>
      <w:r>
        <w:t xml:space="preserve">must be audited to reflect the requirement for</w:t>
      </w:r>
      <w:r>
        <w:t xml:space="preserve"> </w:t>
      </w:r>
      <w:r>
        <w:t xml:space="preserve">“permanent accompaniment.”</w:t>
      </w:r>
    </w:p>
    <w:bookmarkEnd w:id="17"/>
    <w:bookmarkStart w:id="18" w:name="X73d220fe89fa9c842e76bad2eb4142817430d43"/>
    <w:p>
      <w:pPr>
        <w:pStyle w:val="Heading5"/>
      </w:pPr>
      <w:r>
        <w:t xml:space="preserve">6. Operational Implementation Roadmap: Applying the New Standards</w:t>
      </w:r>
    </w:p>
    <w:p>
      <w:pPr>
        <w:pStyle w:val="FirstParagraph"/>
      </w:pPr>
      <w:r>
        <w:t xml:space="preserve">To prevent the catastrophic loss of registrations for Calferquim’s ~300 products (as identified by the Safety Data Sheets in folder 07), the following implementation steps are mandatory:</w:t>
      </w:r>
    </w:p>
    <w:p>
      <w:pPr>
        <w:pStyle w:val="Compact"/>
        <w:numPr>
          <w:ilvl w:val="0"/>
          <w:numId w:val="1004"/>
        </w:numPr>
      </w:pPr>
      <w:r>
        <w:rPr>
          <w:b/>
          <w:bCs/>
        </w:rPr>
        <w:t xml:space="preserve">Laboratory Parameter Audit:</w:t>
      </w:r>
      <w:r>
        <w:t xml:space="preserve"> </w:t>
      </w:r>
      <w:r>
        <w:t xml:space="preserve">Immediately verify that external labs (Dr. Calderon, Agrilab, Campolab) hold ICA registration for</w:t>
      </w:r>
      <w:r>
        <w:t xml:space="preserve"> </w:t>
      </w:r>
      <w:r>
        <w:rPr>
          <w:i/>
          <w:iCs/>
        </w:rPr>
        <w:t xml:space="preserve">every</w:t>
      </w:r>
      <w:r>
        <w:t xml:space="preserve"> </w:t>
      </w:r>
      <w:r>
        <w:t xml:space="preserve">specific nutrient and metal parameter. For imported inputs, initiate the ICA registration process for the foreign source laboratory (Art 26.13).</w:t>
      </w:r>
      <w:r>
        <w:br/>
      </w:r>
    </w:p>
    <w:p>
      <w:pPr>
        <w:pStyle w:val="Compact"/>
        <w:numPr>
          <w:ilvl w:val="0"/>
          <w:numId w:val="1004"/>
        </w:numPr>
      </w:pPr>
      <w:r>
        <w:rPr>
          <w:b/>
          <w:bCs/>
        </w:rPr>
        <w:t xml:space="preserve">Procedural Overhaul:</w:t>
      </w:r>
      <w:r>
        <w:t xml:space="preserve"> </w:t>
      </w:r>
      <w:r>
        <w:t xml:space="preserve">Re-draft all procedures in</w:t>
      </w:r>
      <w:r>
        <w:t xml:space="preserve"> </w:t>
      </w:r>
      <w:r>
        <w:t xml:space="preserve">“03 Operacion”</w:t>
      </w:r>
      <w:r>
        <w:t xml:space="preserve"> </w:t>
      </w:r>
      <w:r>
        <w:t xml:space="preserve">and</w:t>
      </w:r>
      <w:r>
        <w:t xml:space="preserve"> </w:t>
      </w:r>
      <w:r>
        <w:t xml:space="preserve">“04 Calidad”</w:t>
      </w:r>
      <w:r>
        <w:t xml:space="preserve"> </w:t>
      </w:r>
      <w:r>
        <w:t xml:space="preserve">into the</w:t>
      </w:r>
      <w:r>
        <w:t xml:space="preserve"> </w:t>
      </w:r>
      <w:r>
        <w:rPr>
          <w:b/>
          <w:bCs/>
        </w:rPr>
        <w:t xml:space="preserve">CGC-POE</w:t>
      </w:r>
      <w:r>
        <w:t xml:space="preserve"> </w:t>
      </w:r>
      <w:r>
        <w:t xml:space="preserve">format. Every one of the 18 points must have a corresponding procedure, record (RC-SI), and instruction (CGC-IOE).</w:t>
      </w:r>
      <w:r>
        <w:br/>
      </w:r>
    </w:p>
    <w:p>
      <w:pPr>
        <w:pStyle w:val="Compact"/>
        <w:numPr>
          <w:ilvl w:val="0"/>
          <w:numId w:val="1004"/>
        </w:numPr>
      </w:pPr>
      <w:r>
        <w:rPr>
          <w:b/>
          <w:bCs/>
        </w:rPr>
        <w:t xml:space="preserve">Digital Synchronization &amp; Macro Audit:</w:t>
      </w:r>
      <w:r>
        <w:t xml:space="preserve"> </w:t>
      </w:r>
      <w:r>
        <w:t xml:space="preserve">Categorize the 2,043 files into the SimplifICA procedural bins. Specifically, the</w:t>
      </w:r>
      <w:r>
        <w:t xml:space="preserve"> </w:t>
      </w:r>
      <w:r>
        <w:rPr>
          <w:b/>
          <w:bCs/>
        </w:rPr>
        <w:t xml:space="preserve">16 .xlsm macros</w:t>
      </w:r>
      <w:r>
        <w:t xml:space="preserve"> </w:t>
      </w:r>
      <w:r>
        <w:t xml:space="preserve">in</w:t>
      </w:r>
      <w:r>
        <w:t xml:space="preserve"> </w:t>
      </w:r>
      <w:r>
        <w:t xml:space="preserve">“05 Laboratorio”</w:t>
      </w:r>
      <w:r>
        <w:t xml:space="preserve"> </w:t>
      </w:r>
      <w:r>
        <w:t xml:space="preserve">must be hard-coded to reject formulations failing the new NPK minimums (</w:t>
      </w:r>
      <w:r>
        <w:t xml:space="preserve"> </w:t>
      </w:r>
      <w:r>
        <w:t xml:space="preserve">$10\\%$</w:t>
      </w:r>
      <w:r>
        <w:t xml:space="preserve"> </w:t>
      </w:r>
      <w:r>
        <w:t xml:space="preserve">/</w:t>
      </w:r>
      <w:r>
        <w:t xml:space="preserve"> </w:t>
      </w:r>
      <w:r>
        <w:t xml:space="preserve">$18\\%$</w:t>
      </w:r>
      <w:r>
        <w:t xml:space="preserve"> </w:t>
      </w:r>
      <w:r>
        <w:t xml:space="preserve">/</w:t>
      </w:r>
      <w:r>
        <w:t xml:space="preserve"> </w:t>
      </w:r>
      <w:r>
        <w:t xml:space="preserve">$15\\%$</w:t>
      </w:r>
      <w:r>
        <w:t xml:space="preserve"> </w:t>
      </w:r>
      <w:r>
        <w:t xml:space="preserve">) or metal limits.</w:t>
      </w:r>
      <w:r>
        <w:br/>
      </w:r>
    </w:p>
    <w:p>
      <w:pPr>
        <w:pStyle w:val="Compact"/>
        <w:numPr>
          <w:ilvl w:val="0"/>
          <w:numId w:val="1004"/>
        </w:numPr>
      </w:pPr>
      <w:r>
        <w:rPr>
          <w:b/>
          <w:bCs/>
        </w:rPr>
        <w:t xml:space="preserve">Residue Protocol Formalization:</w:t>
      </w:r>
      <w:r>
        <w:t xml:space="preserve"> </w:t>
      </w:r>
      <w:r>
        <w:t xml:space="preserve">Update</w:t>
      </w:r>
      <w:r>
        <w:t xml:space="preserve"> </w:t>
      </w:r>
      <w:r>
        <w:t xml:space="preserve">“02 Gestion Ambiental”</w:t>
      </w:r>
      <w:r>
        <w:t xml:space="preserve"> </w:t>
      </w:r>
      <w:r>
        <w:t xml:space="preserve">to include a signed protocol forbidding the reuse of</w:t>
      </w:r>
      <w:r>
        <w:t xml:space="preserve"> </w:t>
      </w:r>
      <w:r>
        <w:t xml:space="preserve">“barreduras”</w:t>
      </w:r>
      <w:r>
        <w:t xml:space="preserve"> </w:t>
      </w:r>
      <w:r>
        <w:t xml:space="preserve">(Art 12.3) and defining a documented disposal path for liquid waste.</w:t>
      </w:r>
      <w:r>
        <w:rPr>
          <w:b/>
          <w:bCs/>
        </w:rPr>
        <w:t xml:space="preserve">Strategic Benefits:</w:t>
      </w:r>
      <w:r>
        <w:t xml:space="preserve"> </w:t>
      </w:r>
      <w:r>
        <w:t xml:space="preserve">Successful adaptation will reduce response times for registration modifications from</w:t>
      </w:r>
      <w:r>
        <w:t xml:space="preserve"> </w:t>
      </w:r>
      <w:r>
        <w:rPr>
          <w:b/>
          <w:bCs/>
        </w:rPr>
        <w:t xml:space="preserve">60 calendar days to 20–30 business days</w:t>
      </w:r>
      <w:r>
        <w:t xml:space="preserve"> </w:t>
      </w:r>
      <w:r>
        <w:t xml:space="preserve">, providing a significant time-to-market advantage.</w:t>
      </w:r>
      <w:r>
        <w:rPr>
          <w:b/>
          <w:bCs/>
        </w:rPr>
        <w:t xml:space="preserve">Conclusion:</w:t>
      </w:r>
      <w:r>
        <w:t xml:space="preserve"> </w:t>
      </w:r>
      <w:r>
        <w:t xml:space="preserve">The shift from Resolution 150 to the pv0 framework is a move from administrative paperwork to</w:t>
      </w:r>
      <w:r>
        <w:t xml:space="preserve"> </w:t>
      </w:r>
      <w:r>
        <w:rPr>
          <w:b/>
          <w:bCs/>
        </w:rPr>
        <w:t xml:space="preserve">operational de-risking</w:t>
      </w:r>
      <w:r>
        <w:t xml:space="preserve"> </w:t>
      </w:r>
      <w:r>
        <w:t xml:space="preserve">. For Calferquim, failing to adapt within the 6-month window would require</w:t>
      </w:r>
      <w:r>
        <w:t xml:space="preserve"> </w:t>
      </w:r>
      <w:r>
        <w:t xml:space="preserve">“New Registrations”</w:t>
      </w:r>
      <w:r>
        <w:t xml:space="preserve"> </w:t>
      </w:r>
      <w:r>
        <w:t xml:space="preserve">for over 100 products—a financially catastrophic outcome. Proactive alignment with these high-standard GMP requirements is the only viable path to maintaining market access and operational legitimacy.# Strategic Analysis: Evolution of the Quality Management System (QMS) under ICA Regulations</w:t>
      </w:r>
    </w:p>
    <w:bookmarkEnd w:id="18"/>
    <w:bookmarkStart w:id="19" w:name="Xc2ab0beff6f8e28bf10246ba8256f071a81d996"/>
    <w:p>
      <w:pPr>
        <w:pStyle w:val="Heading5"/>
      </w:pPr>
      <w:r>
        <w:t xml:space="preserve">1. Regulatory Context and Strategic Imperative</w:t>
      </w:r>
    </w:p>
    <w:p>
      <w:pPr>
        <w:pStyle w:val="FirstParagraph"/>
      </w:pPr>
      <w:r>
        <w:t xml:space="preserve">The Colombian agricultural input sector is navigating a pivotal transition from the legacy framework of</w:t>
      </w:r>
      <w:r>
        <w:t xml:space="preserve"> </w:t>
      </w:r>
      <w:r>
        <w:rPr>
          <w:b/>
          <w:bCs/>
        </w:rPr>
        <w:t xml:space="preserve">Resolution 150 of 2003</w:t>
      </w:r>
      <w:r>
        <w:t xml:space="preserve"> </w:t>
      </w:r>
      <w:r>
        <w:t xml:space="preserve">to the digital-first paradigm established by the</w:t>
      </w:r>
      <w:r>
        <w:t xml:space="preserve"> </w:t>
      </w:r>
      <w:r>
        <w:rPr>
          <w:b/>
          <w:bCs/>
        </w:rPr>
        <w:t xml:space="preserve">proposed pv0 resolution</w:t>
      </w:r>
      <w:r>
        <w:t xml:space="preserve"> </w:t>
      </w:r>
      <w:r>
        <w:t xml:space="preserve">. This evolution represents a strategic shift from passive administrative compliance—characterized by the submission of physical documents—to a rigorous, risk-based operational excellence model. Central to this change is the</w:t>
      </w:r>
      <w:r>
        <w:t xml:space="preserve"> </w:t>
      </w:r>
      <w:r>
        <w:rPr>
          <w:b/>
          <w:bCs/>
        </w:rPr>
        <w:t xml:space="preserve">SimplifICA</w:t>
      </w:r>
      <w:r>
        <w:t xml:space="preserve"> </w:t>
      </w:r>
      <w:r>
        <w:t xml:space="preserve">platform, which demands that quality management no longer be treated as a static archive, but as a dynamic, living system rooted in Good Manufacturing Practices (GMP) and Good Distribution Practices (GDP).The scope of this analysis specifically addresses the regulatory and operational impact on</w:t>
      </w:r>
      <w:r>
        <w:t xml:space="preserve"> </w:t>
      </w:r>
      <w:r>
        <w:rPr>
          <w:b/>
          <w:bCs/>
        </w:rPr>
        <w:t xml:space="preserve">Manufacturers, Formulators, and Importers</w:t>
      </w:r>
      <w:r>
        <w:t xml:space="preserve"> </w:t>
      </w:r>
      <w:r>
        <w:t xml:space="preserve">of agricultural fertilizers and soil conditioners. As the barrier to entry shifts from</w:t>
      </w:r>
      <w:r>
        <w:t xml:space="preserve"> </w:t>
      </w:r>
      <w:r>
        <w:t xml:space="preserve">“having a document”</w:t>
      </w:r>
      <w:r>
        <w:t xml:space="preserve"> </w:t>
      </w:r>
      <w:r>
        <w:t xml:space="preserve">to</w:t>
      </w:r>
      <w:r>
        <w:t xml:space="preserve"> </w:t>
      </w:r>
      <w:r>
        <w:t xml:space="preserve">“demonstrating a system,”</w:t>
      </w:r>
      <w:r>
        <w:t xml:space="preserve"> </w:t>
      </w:r>
      <w:r>
        <w:t xml:space="preserve">this analysis serves as a high-level roadmap for operational modernization and regulatory de-risking.</w:t>
      </w:r>
    </w:p>
    <w:bookmarkEnd w:id="19"/>
    <w:bookmarkStart w:id="20" w:name="X542b298eb3c0cccd4153aa64fb4ad07278481eb"/>
    <w:p>
      <w:pPr>
        <w:pStyle w:val="Heading5"/>
      </w:pPr>
      <w:r>
        <w:t xml:space="preserve">2. Analysis of Quality Management Requirements under Resolution 150 of 2003</w:t>
      </w:r>
    </w:p>
    <w:p>
      <w:pPr>
        <w:pStyle w:val="FirstParagraph"/>
      </w:pPr>
      <w:r>
        <w:t xml:space="preserve">Resolution 150 (R150) operated under a regulatory philosophy of</w:t>
      </w:r>
      <w:r>
        <w:t xml:space="preserve"> </w:t>
      </w:r>
      <w:r>
        <w:t xml:space="preserve">“paper-based”</w:t>
      </w:r>
      <w:r>
        <w:t xml:space="preserve"> </w:t>
      </w:r>
      <w:r>
        <w:t xml:space="preserve">oversight. It relied on the submission of physical contracts and fundamental descriptions of production activities to grant indefinite registrations. The legacy Quality Management System (SGC) requirements, synthesized from Chapters III and IV, included:</w:t>
      </w:r>
    </w:p>
    <w:p>
      <w:pPr>
        <w:pStyle w:val="Compact"/>
        <w:numPr>
          <w:ilvl w:val="0"/>
          <w:numId w:val="1005"/>
        </w:numPr>
      </w:pPr>
      <w:r>
        <w:rPr>
          <w:b/>
          <w:bCs/>
        </w:rPr>
        <w:t xml:space="preserve">Physical Contractual Proof:</w:t>
      </w:r>
      <w:r>
        <w:t xml:space="preserve"> </w:t>
      </w:r>
      <w:r>
        <w:t xml:space="preserve">Mandatory submission of physical copies of Technical Direction, production, and quality control contracts.</w:t>
      </w:r>
      <w:r>
        <w:br/>
      </w:r>
    </w:p>
    <w:p>
      <w:pPr>
        <w:pStyle w:val="Compact"/>
        <w:numPr>
          <w:ilvl w:val="0"/>
          <w:numId w:val="1005"/>
        </w:numPr>
      </w:pPr>
      <w:r>
        <w:rPr>
          <w:b/>
          <w:bCs/>
        </w:rPr>
        <w:t xml:space="preserve">Process Outlines:</w:t>
      </w:r>
      <w:r>
        <w:t xml:space="preserve"> </w:t>
      </w:r>
      <w:r>
        <w:t xml:space="preserve">Basic descriptions of physical operations, specifically milling, mixing, and homogenization.</w:t>
      </w:r>
      <w:r>
        <w:br/>
      </w:r>
    </w:p>
    <w:p>
      <w:pPr>
        <w:pStyle w:val="Compact"/>
        <w:numPr>
          <w:ilvl w:val="0"/>
          <w:numId w:val="1005"/>
        </w:numPr>
      </w:pPr>
      <w:r>
        <w:rPr>
          <w:b/>
          <w:bCs/>
        </w:rPr>
        <w:t xml:space="preserve">The Technical Director:</w:t>
      </w:r>
      <w:r>
        <w:t xml:space="preserve"> </w:t>
      </w:r>
      <w:r>
        <w:t xml:space="preserve">A designated professional responsible for installation, raw material selection, and general oversight.</w:t>
      </w:r>
      <w:r>
        <w:br/>
      </w:r>
    </w:p>
    <w:p>
      <w:pPr>
        <w:pStyle w:val="Compact"/>
        <w:numPr>
          <w:ilvl w:val="0"/>
          <w:numId w:val="1005"/>
        </w:numPr>
      </w:pPr>
      <w:r>
        <w:rPr>
          <w:b/>
          <w:bCs/>
        </w:rPr>
        <w:t xml:space="preserve">Infrastructure Verification:</w:t>
      </w:r>
      <w:r>
        <w:t xml:space="preserve"> </w:t>
      </w:r>
      <w:r>
        <w:t xml:space="preserve">Submission of facility croquis and mandatory technical visits to verify physical installations.R150 was inherently</w:t>
      </w:r>
      <w:r>
        <w:t xml:space="preserve"> </w:t>
      </w:r>
      <w:r>
        <w:t xml:space="preserve">“static.”</w:t>
      </w:r>
      <w:r>
        <w:t xml:space="preserve"> </w:t>
      </w:r>
      <w:r>
        <w:t xml:space="preserve">It lacked mandatory frequencies for internal quality controls and provided minimal guidance on residue management. While these requirements formed the baseline for current operations, they left critical gaps in traceability, environmental safety, and the digital interoperability required by modern trade standards.</w:t>
      </w:r>
    </w:p>
    <w:bookmarkEnd w:id="20"/>
    <w:bookmarkStart w:id="23" w:name="X2712373a882fb86dbd000c9e076ced088b2cf65"/>
    <w:p>
      <w:pPr>
        <w:pStyle w:val="Heading5"/>
      </w:pPr>
      <w:r>
        <w:t xml:space="preserve">3. Deep Dive: High-Standard QMS Requirements in the New Resolution (pv0)</w:t>
      </w:r>
    </w:p>
    <w:p>
      <w:pPr>
        <w:pStyle w:val="FirstParagraph"/>
      </w:pPr>
      <w:r>
        <w:t xml:space="preserve">The pv0 framework introduces a high-standard SGC that mandates the adoption of GMP and GDP. This transition is anchored in the</w:t>
      </w:r>
      <w:r>
        <w:t xml:space="preserve"> </w:t>
      </w:r>
      <w:r>
        <w:rPr>
          <w:b/>
          <w:bCs/>
        </w:rPr>
        <w:t xml:space="preserve">SimplifICA</w:t>
      </w:r>
      <w:r>
        <w:t xml:space="preserve"> </w:t>
      </w:r>
      <w:r>
        <w:t xml:space="preserve">system, which automates management while increasing the burden of proof for operational integrity.</w:t>
      </w:r>
    </w:p>
    <w:bookmarkStart w:id="21" w:name="Xdf99c1e30ee99b5a00f56aa5efe72f8f266dcc2"/>
    <w:p>
      <w:pPr>
        <w:pStyle w:val="Heading6"/>
      </w:pPr>
      <w:r>
        <w:rPr>
          <w:i/>
          <w:iCs/>
        </w:rPr>
        <w:t xml:space="preserve">The 18 Procedural Pillars (Annex I-A and I-B)</w:t>
      </w:r>
    </w:p>
    <w:p>
      <w:pPr>
        <w:pStyle w:val="FirstParagraph"/>
      </w:pPr>
      <w:r>
        <w:t xml:space="preserve">Entities must now formalize and document procedures, formats, and records for 18 specific points:</w:t>
      </w:r>
    </w:p>
    <w:p>
      <w:pPr>
        <w:pStyle w:val="Compact"/>
        <w:numPr>
          <w:ilvl w:val="0"/>
          <w:numId w:val="1006"/>
        </w:numPr>
      </w:pPr>
      <w:r>
        <w:rPr>
          <w:b/>
          <w:bCs/>
        </w:rPr>
        <w:t xml:space="preserve">Supplier Control:</w:t>
      </w:r>
      <w:r>
        <w:t xml:space="preserve"> </w:t>
      </w:r>
      <w:r>
        <w:t xml:space="preserve">Formal auditing and qualification of raw material providers.</w:t>
      </w:r>
      <w:r>
        <w:br/>
      </w:r>
    </w:p>
    <w:p>
      <w:pPr>
        <w:pStyle w:val="Compact"/>
        <w:numPr>
          <w:ilvl w:val="0"/>
          <w:numId w:val="1006"/>
        </w:numPr>
      </w:pPr>
      <w:r>
        <w:rPr>
          <w:b/>
          <w:bCs/>
        </w:rPr>
        <w:t xml:space="preserve">Raw Material Balance:</w:t>
      </w:r>
      <w:r>
        <w:t xml:space="preserve"> </w:t>
      </w:r>
      <w:r>
        <w:t xml:space="preserve">Rigorous accounting of inputs versus outputs.</w:t>
      </w:r>
      <w:r>
        <w:br/>
      </w:r>
    </w:p>
    <w:p>
      <w:pPr>
        <w:pStyle w:val="Compact"/>
        <w:numPr>
          <w:ilvl w:val="0"/>
          <w:numId w:val="1006"/>
        </w:numPr>
      </w:pPr>
      <w:r>
        <w:rPr>
          <w:b/>
          <w:bCs/>
        </w:rPr>
        <w:t xml:space="preserve">Lot Coding:</w:t>
      </w:r>
      <w:r>
        <w:t xml:space="preserve"> </w:t>
      </w:r>
      <w:r>
        <w:t xml:space="preserve">Standardized identification for every production cycle.</w:t>
      </w:r>
      <w:r>
        <w:br/>
      </w:r>
    </w:p>
    <w:p>
      <w:pPr>
        <w:pStyle w:val="Compact"/>
        <w:numPr>
          <w:ilvl w:val="0"/>
          <w:numId w:val="1006"/>
        </w:numPr>
      </w:pPr>
      <w:r>
        <w:rPr>
          <w:b/>
          <w:bCs/>
        </w:rPr>
        <w:t xml:space="preserve">Sampling Procedures:</w:t>
      </w:r>
      <w:r>
        <w:t xml:space="preserve"> </w:t>
      </w:r>
      <w:r>
        <w:t xml:space="preserve">Documented protocols for obtaining representative samples.</w:t>
      </w:r>
      <w:r>
        <w:br/>
      </w:r>
    </w:p>
    <w:p>
      <w:pPr>
        <w:pStyle w:val="Compact"/>
        <w:numPr>
          <w:ilvl w:val="0"/>
          <w:numId w:val="1006"/>
        </w:numPr>
      </w:pPr>
      <w:r>
        <w:rPr>
          <w:b/>
          <w:bCs/>
        </w:rPr>
        <w:t xml:space="preserve">Lot Liberation:</w:t>
      </w:r>
      <w:r>
        <w:t xml:space="preserve"> </w:t>
      </w:r>
      <w:r>
        <w:t xml:space="preserve">Formalized release of products only after quality verification.</w:t>
      </w:r>
      <w:r>
        <w:br/>
      </w:r>
    </w:p>
    <w:p>
      <w:pPr>
        <w:pStyle w:val="Compact"/>
        <w:numPr>
          <w:ilvl w:val="0"/>
          <w:numId w:val="1006"/>
        </w:numPr>
      </w:pPr>
      <w:r>
        <w:rPr>
          <w:b/>
          <w:bCs/>
        </w:rPr>
        <w:t xml:space="preserve">Counter-sample Storage:</w:t>
      </w:r>
      <w:r>
        <w:t xml:space="preserve"> </w:t>
      </w:r>
      <w:r>
        <w:t xml:space="preserve">Controlled archiving of samples for post-market surveillance.</w:t>
      </w:r>
      <w:r>
        <w:br/>
      </w:r>
    </w:p>
    <w:p>
      <w:pPr>
        <w:pStyle w:val="Compact"/>
        <w:numPr>
          <w:ilvl w:val="0"/>
          <w:numId w:val="1006"/>
        </w:numPr>
      </w:pPr>
      <w:r>
        <w:rPr>
          <w:b/>
          <w:bCs/>
        </w:rPr>
        <w:t xml:space="preserve">Equipment Maintenance:</w:t>
      </w:r>
      <w:r>
        <w:t xml:space="preserve"> </w:t>
      </w:r>
      <w:r>
        <w:t xml:space="preserve">Scheduled preventative and corrective maintenance.</w:t>
      </w:r>
      <w:r>
        <w:br/>
      </w:r>
    </w:p>
    <w:p>
      <w:pPr>
        <w:pStyle w:val="Compact"/>
        <w:numPr>
          <w:ilvl w:val="0"/>
          <w:numId w:val="1006"/>
        </w:numPr>
      </w:pPr>
      <w:r>
        <w:rPr>
          <w:b/>
          <w:bCs/>
        </w:rPr>
        <w:t xml:space="preserve">Calibration:</w:t>
      </w:r>
      <w:r>
        <w:t xml:space="preserve"> </w:t>
      </w:r>
      <w:r>
        <w:t xml:space="preserve">Certified calibration of all measurement and weighing instruments.</w:t>
      </w:r>
      <w:r>
        <w:br/>
      </w:r>
    </w:p>
    <w:p>
      <w:pPr>
        <w:pStyle w:val="Compact"/>
        <w:numPr>
          <w:ilvl w:val="0"/>
          <w:numId w:val="1006"/>
        </w:numPr>
      </w:pPr>
      <w:r>
        <w:rPr>
          <w:b/>
          <w:bCs/>
        </w:rPr>
        <w:t xml:space="preserve">Cleaning and Sanitation:</w:t>
      </w:r>
      <w:r>
        <w:t xml:space="preserve"> </w:t>
      </w:r>
      <w:r>
        <w:t xml:space="preserve">Rigorous hygiene protocols for facilities and equipment.</w:t>
      </w:r>
      <w:r>
        <w:br/>
      </w:r>
    </w:p>
    <w:p>
      <w:pPr>
        <w:pStyle w:val="Compact"/>
        <w:numPr>
          <w:ilvl w:val="0"/>
          <w:numId w:val="1006"/>
        </w:numPr>
      </w:pPr>
      <w:r>
        <w:rPr>
          <w:b/>
          <w:bCs/>
        </w:rPr>
        <w:t xml:space="preserve">Waste Management (Barreduras):</w:t>
      </w:r>
      <w:r>
        <w:t xml:space="preserve"> </w:t>
      </w:r>
      <w:r>
        <w:t xml:space="preserve">Specific protocols for handling production residues.</w:t>
      </w:r>
      <w:r>
        <w:br/>
      </w:r>
    </w:p>
    <w:p>
      <w:pPr>
        <w:pStyle w:val="Compact"/>
        <w:numPr>
          <w:ilvl w:val="0"/>
          <w:numId w:val="1006"/>
        </w:numPr>
      </w:pPr>
      <w:r>
        <w:rPr>
          <w:b/>
          <w:bCs/>
        </w:rPr>
        <w:t xml:space="preserve">Personnel Training:</w:t>
      </w:r>
      <w:r>
        <w:t xml:space="preserve"> </w:t>
      </w:r>
      <w:r>
        <w:t xml:space="preserve">Continuous education on quality and safety protocols.</w:t>
      </w:r>
      <w:r>
        <w:br/>
      </w:r>
    </w:p>
    <w:p>
      <w:pPr>
        <w:pStyle w:val="Compact"/>
        <w:numPr>
          <w:ilvl w:val="0"/>
          <w:numId w:val="1006"/>
        </w:numPr>
      </w:pPr>
      <w:r>
        <w:rPr>
          <w:b/>
          <w:bCs/>
        </w:rPr>
        <w:t xml:space="preserve">Document Control:</w:t>
      </w:r>
      <w:r>
        <w:t xml:space="preserve"> </w:t>
      </w:r>
      <w:r>
        <w:t xml:space="preserve">Management of the QMS lifecycle (creation, approval, obsolescence).</w:t>
      </w:r>
      <w:r>
        <w:br/>
      </w:r>
    </w:p>
    <w:p>
      <w:pPr>
        <w:pStyle w:val="Compact"/>
        <w:numPr>
          <w:ilvl w:val="0"/>
          <w:numId w:val="1006"/>
        </w:numPr>
      </w:pPr>
      <w:r>
        <w:rPr>
          <w:b/>
          <w:bCs/>
        </w:rPr>
        <w:t xml:space="preserve">Product Recall/Traceability:</w:t>
      </w:r>
      <w:r>
        <w:t xml:space="preserve"> </w:t>
      </w:r>
      <w:r>
        <w:t xml:space="preserve">Rapid response protocols for market withdrawals.</w:t>
      </w:r>
      <w:r>
        <w:br/>
      </w:r>
    </w:p>
    <w:p>
      <w:pPr>
        <w:pStyle w:val="Compact"/>
        <w:numPr>
          <w:ilvl w:val="0"/>
          <w:numId w:val="1006"/>
        </w:numPr>
      </w:pPr>
      <w:r>
        <w:rPr>
          <w:b/>
          <w:bCs/>
        </w:rPr>
        <w:t xml:space="preserve">Customer Service (PQR):</w:t>
      </w:r>
      <w:r>
        <w:t xml:space="preserve"> </w:t>
      </w:r>
      <w:r>
        <w:t xml:space="preserve">Formalized handling of complaints with defined response times.</w:t>
      </w:r>
      <w:r>
        <w:br/>
      </w:r>
    </w:p>
    <w:p>
      <w:pPr>
        <w:pStyle w:val="Compact"/>
        <w:numPr>
          <w:ilvl w:val="0"/>
          <w:numId w:val="1006"/>
        </w:numPr>
      </w:pPr>
      <w:r>
        <w:rPr>
          <w:b/>
          <w:bCs/>
        </w:rPr>
        <w:t xml:space="preserve">Internal Audits:</w:t>
      </w:r>
      <w:r>
        <w:t xml:space="preserve"> </w:t>
      </w:r>
      <w:r>
        <w:t xml:space="preserve">Periodic self-assessment of the QMS.</w:t>
      </w:r>
      <w:r>
        <w:br/>
      </w:r>
    </w:p>
    <w:p>
      <w:pPr>
        <w:pStyle w:val="Compact"/>
        <w:numPr>
          <w:ilvl w:val="0"/>
          <w:numId w:val="1006"/>
        </w:numPr>
      </w:pPr>
      <w:r>
        <w:rPr>
          <w:b/>
          <w:bCs/>
        </w:rPr>
        <w:t xml:space="preserve">Laboratory Management:</w:t>
      </w:r>
      <w:r>
        <w:t xml:space="preserve"> </w:t>
      </w:r>
      <w:r>
        <w:t xml:space="preserve">Oversight of internal or contracted analytical services.</w:t>
      </w:r>
      <w:r>
        <w:br/>
      </w:r>
    </w:p>
    <w:p>
      <w:pPr>
        <w:pStyle w:val="Compact"/>
        <w:numPr>
          <w:ilvl w:val="0"/>
          <w:numId w:val="1006"/>
        </w:numPr>
      </w:pPr>
      <w:r>
        <w:rPr>
          <w:b/>
          <w:bCs/>
        </w:rPr>
        <w:t xml:space="preserve">Production Process Controls:</w:t>
      </w:r>
      <w:r>
        <w:t xml:space="preserve"> </w:t>
      </w:r>
      <w:r>
        <w:t xml:space="preserve">Real-time monitoring of milling, mixing, and granulation.</w:t>
      </w:r>
      <w:r>
        <w:br/>
      </w:r>
    </w:p>
    <w:p>
      <w:pPr>
        <w:pStyle w:val="Compact"/>
        <w:numPr>
          <w:ilvl w:val="0"/>
          <w:numId w:val="1006"/>
        </w:numPr>
      </w:pPr>
      <w:r>
        <w:rPr>
          <w:b/>
          <w:bCs/>
        </w:rPr>
        <w:t xml:space="preserve">Facility Maintenance and Hygiene:</w:t>
      </w:r>
      <w:r>
        <w:t xml:space="preserve"> </w:t>
      </w:r>
      <w:r>
        <w:t xml:space="preserve">General upkeep of the industrial environment.</w:t>
      </w:r>
    </w:p>
    <w:bookmarkEnd w:id="21"/>
    <w:bookmarkStart w:id="22" w:name="technical-and-environmental-mandates-1"/>
    <w:p>
      <w:pPr>
        <w:pStyle w:val="Heading6"/>
      </w:pPr>
      <w:r>
        <w:rPr>
          <w:i/>
          <w:iCs/>
        </w:rPr>
        <w:t xml:space="preserve">Technical and Environmental Mandates</w:t>
      </w:r>
    </w:p>
    <w:p>
      <w:pPr>
        <w:pStyle w:val="FirstParagraph"/>
      </w:pPr>
      <w:r>
        <w:t xml:space="preserve">The pv0 resolution shifts the</w:t>
      </w:r>
      <w:r>
        <w:t xml:space="preserve"> </w:t>
      </w:r>
      <w:r>
        <w:t xml:space="preserve">“Technical Director”</w:t>
      </w:r>
      <w:r>
        <w:t xml:space="preserve"> </w:t>
      </w:r>
      <w:r>
        <w:t xml:space="preserve">to a</w:t>
      </w:r>
      <w:r>
        <w:t xml:space="preserve"> </w:t>
      </w:r>
      <w:r>
        <w:rPr>
          <w:b/>
          <w:bCs/>
        </w:rPr>
        <w:t xml:space="preserve">“Technical Advisor”</w:t>
      </w:r>
      <w:r>
        <w:t xml:space="preserve"> </w:t>
      </w:r>
      <w:r>
        <w:t xml:space="preserve">(Art 3.4), a role requiring</w:t>
      </w:r>
      <w:r>
        <w:t xml:space="preserve"> </w:t>
      </w:r>
      <w:r>
        <w:rPr>
          <w:b/>
          <w:bCs/>
        </w:rPr>
        <w:t xml:space="preserve">permanent accompaniment</w:t>
      </w:r>
      <w:r>
        <w:t xml:space="preserve"> </w:t>
      </w:r>
      <w:r>
        <w:t xml:space="preserve">at the facility. This significantly increases contractual liability and operational costs. Furthermore, Article 12.3 introduces a strict</w:t>
      </w:r>
      <w:r>
        <w:t xml:space="preserve"> </w:t>
      </w:r>
      <w:r>
        <w:rPr>
          <w:b/>
          <w:bCs/>
        </w:rPr>
        <w:t xml:space="preserve">prohibition on the use of</w:t>
      </w:r>
      <w:r>
        <w:rPr>
          <w:b/>
          <w:bCs/>
        </w:rPr>
        <w:t xml:space="preserve"> </w:t>
      </w:r>
      <w:r>
        <w:rPr>
          <w:b/>
          <w:bCs/>
        </w:rPr>
        <w:t xml:space="preserve">“barreduras”</w:t>
      </w:r>
      <w:r>
        <w:rPr>
          <w:b/>
          <w:bCs/>
        </w:rPr>
        <w:t xml:space="preserve"> </w:t>
      </w:r>
      <w:r>
        <w:rPr>
          <w:b/>
          <w:bCs/>
        </w:rPr>
        <w:t xml:space="preserve">(sweepings)</w:t>
      </w:r>
      <w:r>
        <w:t xml:space="preserve"> </w:t>
      </w:r>
      <w:r>
        <w:t xml:space="preserve">in fertilizer production. Liquid waste and residues must have documented disposal protocols, ensuring no contaminated material re-enters the production chain.Importantly, laboratory requirements have been hardened. All internal and contracted labs must be ICA-registered for the specific parameters being analyzed. For importers,</w:t>
      </w:r>
      <w:r>
        <w:t xml:space="preserve"> </w:t>
      </w:r>
      <w:r>
        <w:rPr>
          <w:b/>
          <w:bCs/>
        </w:rPr>
        <w:t xml:space="preserve">analysis from foreign laboratories is only valid if the foreign laboratory itself is registered with the ICA</w:t>
      </w:r>
      <w:r>
        <w:t xml:space="preserve"> </w:t>
      </w:r>
      <w:r>
        <w:t xml:space="preserve">(Art 26.13), a major hurdle for global supply chains.</w:t>
      </w:r>
    </w:p>
    <w:bookmarkEnd w:id="22"/>
    <w:bookmarkEnd w:id="23"/>
    <w:bookmarkStart w:id="26" w:name="X3c2244b0cc52572f88ad13d33b8880b1a4d741f"/>
    <w:p>
      <w:pPr>
        <w:pStyle w:val="Heading5"/>
      </w:pPr>
      <w:r>
        <w:t xml:space="preserve">4. Comparative Diagnostic: Current Calferquim QMS vs. Regulatory Benchmarks</w:t>
      </w:r>
    </w:p>
    <w:p>
      <w:pPr>
        <w:pStyle w:val="FirstParagraph"/>
      </w:pPr>
      <w:r>
        <w:t xml:space="preserve">Calferquim’s current directory structure, containing 2,043 files, reflects a system optimized for R150 but facing significant gaps under pv0.</w:t>
      </w:r>
    </w:p>
    <w:bookmarkStart w:id="24" w:name="X59fc1bb3a47295c96bf69dea25661b39daeb4b1"/>
    <w:p>
      <w:pPr>
        <w:pStyle w:val="Heading6"/>
      </w:pPr>
      <w:r>
        <w:rPr>
          <w:i/>
          <w:iCs/>
        </w:rPr>
        <w:t xml:space="preserve">Table 3a Current SGC vs. Resolution 150</w:t>
      </w:r>
    </w:p>
    <w:p>
      <w:pPr>
        <w:pStyle w:val="FirstParagraph"/>
      </w:pPr>
      <w:r>
        <w:t xml:space="preserve">R150 Requirement,Current Calferquim Status,Gap/Alignment Analysis</w:t>
      </w:r>
    </w:p>
    <w:p>
      <w:pPr>
        <w:pStyle w:val="BodyText"/>
      </w:pPr>
      <w:r>
        <w:t xml:space="preserve">Physical/Digital Contracts,</w:t>
      </w:r>
      <w:r>
        <w:t xml:space="preserve">“Managed in”</w:t>
      </w:r>
      <w:r>
        <w:t xml:space="preserve">“01 Documentacion Legal.”</w:t>
      </w:r>
      <w:r>
        <w:t xml:space="preserve">““,High alignment; legacy contracts are well-archived.</w:t>
      </w:r>
    </w:p>
    <w:p>
      <w:pPr>
        <w:pStyle w:val="BodyText"/>
      </w:pPr>
      <w:r>
        <w:t xml:space="preserve">Process Descriptions,</w:t>
      </w:r>
      <w:r>
        <w:t xml:space="preserve">“Folder”</w:t>
      </w:r>
      <w:r>
        <w:t xml:space="preserve">“03 Operacion”</w:t>
      </w:r>
      <w:r>
        <w:t xml:space="preserve">” (DC-SI##).”,Aligned; covers basic mixing and granulation.</w:t>
      </w:r>
    </w:p>
    <w:p>
      <w:pPr>
        <w:pStyle w:val="BodyText"/>
      </w:pPr>
      <w:r>
        <w:t xml:space="preserve">Technical Director,</w:t>
      </w:r>
      <w:r>
        <w:t xml:space="preserve">“Defined in”</w:t>
      </w:r>
      <w:r>
        <w:t xml:space="preserve">“04 Calidad.”</w:t>
      </w:r>
      <w:r>
        <w:t xml:space="preserve">““,Aligned with legacy administrative role.</w:t>
      </w:r>
    </w:p>
    <w:p>
      <w:pPr>
        <w:pStyle w:val="BodyText"/>
      </w:pPr>
      <w:r>
        <w:t xml:space="preserve">Facility Croquis,</w:t>
      </w:r>
      <w:r>
        <w:t xml:space="preserve">“Documented in”</w:t>
      </w:r>
      <w:r>
        <w:t xml:space="preserve">“04 Calidad”</w:t>
      </w:r>
      <w:r>
        <w:t xml:space="preserve">” / “</w:t>
      </w:r>
      <w:r>
        <w:t xml:space="preserve">“03 Operacion.”</w:t>
      </w:r>
      <w:r>
        <w:t xml:space="preserve">““,Fully aligned.</w:t>
      </w:r>
    </w:p>
    <w:bookmarkEnd w:id="24"/>
    <w:bookmarkStart w:id="25" w:name="X0c9d4cd91df8c1aa589f6821e35b698f50aa49e"/>
    <w:p>
      <w:pPr>
        <w:pStyle w:val="Heading6"/>
      </w:pPr>
      <w:r>
        <w:rPr>
          <w:i/>
          <w:iCs/>
        </w:rPr>
        <w:t xml:space="preserve">Table 3b Current SGC vs. New Resolution (pv0)</w:t>
      </w:r>
    </w:p>
    <w:p>
      <w:pPr>
        <w:pStyle w:val="FirstParagraph"/>
      </w:pPr>
      <w:r>
        <w:t xml:space="preserve">New Mandate (pv0),Current SGC Asset,Strategic Action Required</w:t>
      </w:r>
    </w:p>
    <w:p>
      <w:pPr>
        <w:pStyle w:val="BodyText"/>
      </w:pPr>
      <w:r>
        <w:t xml:space="preserve">Digital Interoperability,</w:t>
      </w:r>
      <w:r>
        <w:t xml:space="preserve">“2,043 files (1,077 PDFs, 16 .xlsm).”</w:t>
      </w:r>
      <w:r>
        <w:t xml:space="preserve">,Categorize and tag all files into the 18 procedural bins for SimplifICA upload.</w:t>
      </w:r>
    </w:p>
    <w:p>
      <w:pPr>
        <w:pStyle w:val="BodyText"/>
      </w:pPr>
      <w:r>
        <w:t xml:space="preserve">Annual Quality Analysis,</w:t>
      </w:r>
      <w:r>
        <w:t xml:space="preserve">“Results in”</w:t>
      </w:r>
      <w:r>
        <w:t xml:space="preserve">“12 Resultados Externos.”</w:t>
      </w:r>
      <w:r>
        <w:t xml:space="preserve">““,Establish a formal annual schedule; verify that Dr. Calderon/Agrilab are ICA-registered for every parameter guaranteed (Art 11.9).</w:t>
      </w:r>
    </w:p>
    <w:p>
      <w:pPr>
        <w:pStyle w:val="BodyText"/>
      </w:pPr>
      <w:r>
        <w:t xml:space="preserve">““</w:t>
      </w:r>
      <w:r>
        <w:t xml:space="preserve">“Barreduras”</w:t>
      </w:r>
      <w:r>
        <w:t xml:space="preserve">” Prohibition”,““</w:t>
      </w:r>
      <w:r>
        <w:t xml:space="preserve">“02 Gestion Ambiental”</w:t>
      </w:r>
      <w:r>
        <w:t xml:space="preserve">” procedures.”,Update environmental protocols to explicitly ban sweepings; implement destruction logs.</w:t>
      </w:r>
    </w:p>
    <w:p>
      <w:pPr>
        <w:pStyle w:val="BodyText"/>
      </w:pPr>
      <w:r>
        <w:t xml:space="preserve">Procedural Expansion,</w:t>
      </w:r>
      <w:r>
        <w:t xml:space="preserve">“Folder”</w:t>
      </w:r>
      <w:r>
        <w:t xml:space="preserve">“03”</w:t>
      </w:r>
      <w:r>
        <w:t xml:space="preserve">” and “</w:t>
      </w:r>
      <w:r>
        <w:t xml:space="preserve">“04”</w:t>
      </w:r>
      <w:r>
        <w:t xml:space="preserve">” (DC-SI / PC-SI).”,</w:t>
      </w:r>
      <w:r>
        <w:t xml:space="preserve">“Convert”</w:t>
      </w:r>
      <w:r>
        <w:t xml:space="preserve">“DC-SI”</w:t>
      </w:r>
      <w:r>
        <w:t xml:space="preserve">” documents into CGC-POE (Quality Procedures) to match the 18-point GMP expansion.”</w:t>
      </w:r>
    </w:p>
    <w:p>
      <w:pPr>
        <w:pStyle w:val="BodyText"/>
      </w:pPr>
      <w:r>
        <w:t xml:space="preserve">NPK Compliance,16 .xlsm Verifiers (Folder 05).,</w:t>
      </w:r>
      <w:r>
        <w:t xml:space="preserve">“Audit macros to ensure minimums:</w:t>
      </w:r>
      <w:r>
        <w:t xml:space="preserve"> </w:t>
      </w:r>
      <w:r>
        <w:t xml:space="preserve">$10\\%$</w:t>
      </w:r>
      <w:r>
        <w:t xml:space="preserve"> </w:t>
      </w:r>
      <w:r>
        <w:t xml:space="preserve">(Single),</w:t>
      </w:r>
      <w:r>
        <w:t xml:space="preserve"> </w:t>
      </w:r>
      <w:r>
        <w:t xml:space="preserve">$18\\%$</w:t>
      </w:r>
      <w:r>
        <w:t xml:space="preserve"> </w:t>
      </w:r>
      <w:r>
        <w:t xml:space="preserve">(Solid Edaphic),</w:t>
      </w:r>
      <w:r>
        <w:t xml:space="preserve"> </w:t>
      </w:r>
      <w:r>
        <w:t xml:space="preserve">$15\\%$</w:t>
      </w:r>
      <w:r>
        <w:t xml:space="preserve"> </w:t>
      </w:r>
      <w:r>
        <w:t xml:space="preserve">(Fertigation).”</w:t>
      </w:r>
    </w:p>
    <w:p>
      <w:pPr>
        <w:pStyle w:val="BodyText"/>
      </w:pPr>
      <w:r>
        <w:rPr>
          <w:b/>
          <w:bCs/>
        </w:rPr>
        <w:t xml:space="preserve">The</w:t>
      </w:r>
      <w:r>
        <w:rPr>
          <w:b/>
          <w:bCs/>
        </w:rPr>
        <w:t xml:space="preserve"> </w:t>
      </w:r>
      <w:r>
        <w:rPr>
          <w:b/>
          <w:bCs/>
        </w:rPr>
        <w:t xml:space="preserve">“So What?”</w:t>
      </w:r>
      <w:r>
        <w:rPr>
          <w:b/>
          <w:bCs/>
        </w:rPr>
        <w:t xml:space="preserve"> </w:t>
      </w:r>
      <w:r>
        <w:rPr>
          <w:b/>
          <w:bCs/>
        </w:rPr>
        <w:t xml:space="preserve">Layer:</w:t>
      </w:r>
      <w:r>
        <w:t xml:space="preserve"> </w:t>
      </w:r>
      <w:r>
        <w:t xml:space="preserve">The transition from a folder-based repository to a digital-interoperable system is the primary challenge. Current nomenclature (DC-SI##) lacks the granularity to demonstrate compliance with the 18 procedural pillars of Annex I-B.</w:t>
      </w:r>
    </w:p>
    <w:bookmarkEnd w:id="25"/>
    <w:bookmarkEnd w:id="26"/>
    <w:bookmarkStart w:id="27" w:name="X237e01696cd8d68935e9c00773fb807669b996b"/>
    <w:p>
      <w:pPr>
        <w:pStyle w:val="Heading5"/>
      </w:pPr>
      <w:r>
        <w:t xml:space="preserve">5. Transition Mechanics: From R150 to the Proposed Framework</w:t>
      </w:r>
    </w:p>
    <w:p>
      <w:pPr>
        <w:pStyle w:val="FirstParagraph"/>
      </w:pPr>
      <w:r>
        <w:t xml:space="preserve">Chapter VII of the pv0 resolution establishes a high-stakes migration path. Failure to navigate this window accurately poses an existential risk to the product portfolio.</w:t>
      </w:r>
    </w:p>
    <w:p>
      <w:pPr>
        <w:pStyle w:val="Compact"/>
        <w:numPr>
          <w:ilvl w:val="0"/>
          <w:numId w:val="1007"/>
        </w:numPr>
      </w:pPr>
      <w:r>
        <w:rPr>
          <w:b/>
          <w:bCs/>
        </w:rPr>
        <w:t xml:space="preserve">Six-Month Migration Window:</w:t>
      </w:r>
      <w:r>
        <w:t xml:space="preserve"> </w:t>
      </w:r>
      <w:r>
        <w:t xml:space="preserve">Entities have six months from the launch of SimplifICA to migrate all data.</w:t>
      </w:r>
      <w:r>
        <w:br/>
      </w:r>
    </w:p>
    <w:p>
      <w:pPr>
        <w:pStyle w:val="Compact"/>
        <w:numPr>
          <w:ilvl w:val="0"/>
          <w:numId w:val="1007"/>
        </w:numPr>
      </w:pPr>
      <w:r>
        <w:rPr>
          <w:b/>
          <w:bCs/>
        </w:rPr>
        <w:t xml:space="preserve">The</w:t>
      </w:r>
      <w:r>
        <w:rPr>
          <w:b/>
          <w:bCs/>
        </w:rPr>
        <w:t xml:space="preserve"> </w:t>
      </w:r>
      <w:r>
        <w:rPr>
          <w:b/>
          <w:bCs/>
        </w:rPr>
        <w:t xml:space="preserve">“Two-Strike”</w:t>
      </w:r>
      <w:r>
        <w:rPr>
          <w:b/>
          <w:bCs/>
        </w:rPr>
        <w:t xml:space="preserve"> </w:t>
      </w:r>
      <w:r>
        <w:rPr>
          <w:b/>
          <w:bCs/>
        </w:rPr>
        <w:t xml:space="preserve">Correction Rule:</w:t>
      </w:r>
      <w:r>
        <w:t xml:space="preserve"> </w:t>
      </w:r>
      <w:r>
        <w:t xml:space="preserve">If information is incorrect, the user has</w:t>
      </w:r>
      <w:r>
        <w:t xml:space="preserve"> </w:t>
      </w:r>
      <w:r>
        <w:rPr>
          <w:b/>
          <w:bCs/>
        </w:rPr>
        <w:t xml:space="preserve">15 business days</w:t>
      </w:r>
      <w:r>
        <w:t xml:space="preserve"> </w:t>
      </w:r>
      <w:r>
        <w:t xml:space="preserve">to fix it, with a possible</w:t>
      </w:r>
      <w:r>
        <w:t xml:space="preserve"> </w:t>
      </w:r>
      <w:r>
        <w:rPr>
          <w:b/>
          <w:bCs/>
        </w:rPr>
        <w:t xml:space="preserve">one-time 15-day extension</w:t>
      </w:r>
      <w:r>
        <w:t xml:space="preserve"> </w:t>
      </w:r>
      <w:r>
        <w:t xml:space="preserve">. If the second attempt fails, the registration is lost, necessitating a</w:t>
      </w:r>
      <w:r>
        <w:t xml:space="preserve"> </w:t>
      </w:r>
      <w:r>
        <w:rPr>
          <w:b/>
          <w:bCs/>
        </w:rPr>
        <w:t xml:space="preserve">“Nuevo Registro”</w:t>
      </w:r>
      <w:r>
        <w:t xml:space="preserve"> </w:t>
      </w:r>
      <w:r>
        <w:t xml:space="preserve">(New Registration).</w:t>
      </w:r>
      <w:r>
        <w:br/>
      </w:r>
    </w:p>
    <w:p>
      <w:pPr>
        <w:pStyle w:val="Compact"/>
        <w:numPr>
          <w:ilvl w:val="0"/>
          <w:numId w:val="1007"/>
        </w:numPr>
      </w:pPr>
      <w:r>
        <w:rPr>
          <w:b/>
          <w:bCs/>
        </w:rPr>
        <w:t xml:space="preserve">Strict Compositional Minimums:</w:t>
      </w:r>
      <w:r>
        <w:br/>
      </w:r>
    </w:p>
    <w:p>
      <w:pPr>
        <w:pStyle w:val="Compact"/>
        <w:numPr>
          <w:ilvl w:val="0"/>
          <w:numId w:val="1007"/>
        </w:numPr>
      </w:pPr>
      <w:r>
        <w:rPr>
          <w:b/>
          <w:bCs/>
        </w:rPr>
        <w:t xml:space="preserve">NPK:</w:t>
      </w:r>
      <w:r>
        <w:t xml:space="preserve"> </w:t>
      </w:r>
      <w:r>
        <w:t xml:space="preserve">Single nutrients must be</w:t>
      </w:r>
      <w:r>
        <w:t xml:space="preserve"> </w:t>
      </w:r>
      <w:r>
        <w:t xml:space="preserve">$\\ge 10\\%$</w:t>
      </w:r>
      <w:r>
        <w:t xml:space="preserve"> </w:t>
      </w:r>
      <w:r>
        <w:t xml:space="preserve">. Compound edaphic solids must be</w:t>
      </w:r>
      <w:r>
        <w:t xml:space="preserve"> </w:t>
      </w:r>
      <w:r>
        <w:t xml:space="preserve">$\\ge 18\\%$</w:t>
      </w:r>
      <w:r>
        <w:t xml:space="preserve"> </w:t>
      </w:r>
      <w:r>
        <w:t xml:space="preserve">; fertigation solids</w:t>
      </w:r>
      <w:r>
        <w:t xml:space="preserve"> </w:t>
      </w:r>
      <w:r>
        <w:t xml:space="preserve">$\\ge 15\\%$</w:t>
      </w:r>
      <w:r>
        <w:t xml:space="preserve"> </w:t>
      </w:r>
      <w:r>
        <w:t xml:space="preserve">.</w:t>
      </w:r>
      <w:r>
        <w:br/>
      </w:r>
    </w:p>
    <w:p>
      <w:pPr>
        <w:pStyle w:val="Compact"/>
        <w:numPr>
          <w:ilvl w:val="0"/>
          <w:numId w:val="1007"/>
        </w:numPr>
      </w:pPr>
      <w:r>
        <w:rPr>
          <w:b/>
          <w:bCs/>
        </w:rPr>
        <w:t xml:space="preserve">Heavy Metals:</w:t>
      </w:r>
      <w:r>
        <w:t xml:space="preserve"> </w:t>
      </w:r>
      <w:r>
        <w:t xml:space="preserve">Maximum limits are now non-negotiable: As (</w:t>
      </w:r>
      <w:r>
        <w:t xml:space="preserve"> </w:t>
      </w:r>
      <m:oMath>
        <m:r>
          <m:t>41</m:t>
        </m:r>
      </m:oMath>
      <w:r>
        <w:t xml:space="preserve"> </w:t>
      </w:r>
      <w:r>
        <w:t xml:space="preserve">mg/kg), Cd (</w:t>
      </w:r>
      <w:r>
        <w:t xml:space="preserve"> </w:t>
      </w:r>
      <m:oMath>
        <m:r>
          <m:t>39</m:t>
        </m:r>
      </m:oMath>
      <w:r>
        <w:t xml:space="preserve"> </w:t>
      </w:r>
      <w:r>
        <w:t xml:space="preserve">mg/kg), Pb (</w:t>
      </w:r>
      <w:r>
        <w:t xml:space="preserve"> </w:t>
      </w:r>
      <m:oMath>
        <m:r>
          <m:t>20</m:t>
        </m:r>
      </m:oMath>
      <w:r>
        <w:t xml:space="preserve"> </w:t>
      </w:r>
      <w:r>
        <w:t xml:space="preserve">mg/kg), and Ni (</w:t>
      </w:r>
      <w:r>
        <w:t xml:space="preserve"> </w:t>
      </w:r>
      <m:oMath>
        <m:r>
          <m:t>420</m:t>
        </m:r>
      </m:oMath>
      <w:r>
        <w:t xml:space="preserve"> </w:t>
      </w:r>
      <w:r>
        <w:t xml:space="preserve">mg/kg for organics).</w:t>
      </w:r>
      <w:r>
        <w:br/>
      </w:r>
    </w:p>
    <w:p>
      <w:pPr>
        <w:pStyle w:val="Compact"/>
        <w:numPr>
          <w:ilvl w:val="0"/>
          <w:numId w:val="1007"/>
        </w:numPr>
      </w:pPr>
      <w:r>
        <w:rPr>
          <w:b/>
          <w:bCs/>
        </w:rPr>
        <w:t xml:space="preserve">Technical Advisor Commitment:</w:t>
      </w:r>
      <w:r>
        <w:t xml:space="preserve"> </w:t>
      </w:r>
      <w:r>
        <w:t xml:space="preserve">Existing HR and legal contracts in folder</w:t>
      </w:r>
      <w:r>
        <w:t xml:space="preserve"> </w:t>
      </w:r>
      <w:r>
        <w:t xml:space="preserve">“01”</w:t>
      </w:r>
      <w:r>
        <w:t xml:space="preserve"> </w:t>
      </w:r>
      <w:r>
        <w:t xml:space="preserve">must be audited to reflect the requirement for</w:t>
      </w:r>
      <w:r>
        <w:t xml:space="preserve"> </w:t>
      </w:r>
      <w:r>
        <w:t xml:space="preserve">“permanent accompaniment.”</w:t>
      </w:r>
    </w:p>
    <w:bookmarkEnd w:id="27"/>
    <w:bookmarkStart w:id="28" w:name="X88a44e73bcf711878b8ae2ae23d61f10d3ad1db"/>
    <w:p>
      <w:pPr>
        <w:pStyle w:val="Heading5"/>
      </w:pPr>
      <w:r>
        <w:t xml:space="preserve">6. Operational Implementation Roadmap: Applying the New Standards</w:t>
      </w:r>
    </w:p>
    <w:p>
      <w:pPr>
        <w:pStyle w:val="FirstParagraph"/>
      </w:pPr>
      <w:r>
        <w:t xml:space="preserve">To prevent the catastrophic loss of registrations for Calferquim’s ~300 products (as identified by the Safety Data Sheets in folder 07), the following implementation steps are mandatory:</w:t>
      </w:r>
    </w:p>
    <w:p>
      <w:pPr>
        <w:pStyle w:val="Compact"/>
        <w:numPr>
          <w:ilvl w:val="0"/>
          <w:numId w:val="1008"/>
        </w:numPr>
      </w:pPr>
      <w:r>
        <w:rPr>
          <w:b/>
          <w:bCs/>
        </w:rPr>
        <w:t xml:space="preserve">Laboratory Parameter Audit:</w:t>
      </w:r>
      <w:r>
        <w:t xml:space="preserve"> </w:t>
      </w:r>
      <w:r>
        <w:t xml:space="preserve">Immediately verify that external labs (Dr. Calderon, Agrilab, Campolab) hold ICA registration for</w:t>
      </w:r>
      <w:r>
        <w:t xml:space="preserve"> </w:t>
      </w:r>
      <w:r>
        <w:rPr>
          <w:i/>
          <w:iCs/>
        </w:rPr>
        <w:t xml:space="preserve">every</w:t>
      </w:r>
      <w:r>
        <w:t xml:space="preserve"> </w:t>
      </w:r>
      <w:r>
        <w:t xml:space="preserve">specific nutrient and metal parameter. For imported inputs, initiate the ICA registration process for the foreign source laboratory (Art 26.13).</w:t>
      </w:r>
      <w:r>
        <w:br/>
      </w:r>
    </w:p>
    <w:p>
      <w:pPr>
        <w:pStyle w:val="Compact"/>
        <w:numPr>
          <w:ilvl w:val="0"/>
          <w:numId w:val="1008"/>
        </w:numPr>
      </w:pPr>
      <w:r>
        <w:rPr>
          <w:b/>
          <w:bCs/>
        </w:rPr>
        <w:t xml:space="preserve">Procedural Overhaul:</w:t>
      </w:r>
      <w:r>
        <w:t xml:space="preserve"> </w:t>
      </w:r>
      <w:r>
        <w:t xml:space="preserve">Re-draft all procedures in</w:t>
      </w:r>
      <w:r>
        <w:t xml:space="preserve"> </w:t>
      </w:r>
      <w:r>
        <w:t xml:space="preserve">“03 Operacion”</w:t>
      </w:r>
      <w:r>
        <w:t xml:space="preserve"> </w:t>
      </w:r>
      <w:r>
        <w:t xml:space="preserve">and</w:t>
      </w:r>
      <w:r>
        <w:t xml:space="preserve"> </w:t>
      </w:r>
      <w:r>
        <w:t xml:space="preserve">“04 Calidad”</w:t>
      </w:r>
      <w:r>
        <w:t xml:space="preserve"> </w:t>
      </w:r>
      <w:r>
        <w:t xml:space="preserve">into the</w:t>
      </w:r>
      <w:r>
        <w:t xml:space="preserve"> </w:t>
      </w:r>
      <w:r>
        <w:rPr>
          <w:b/>
          <w:bCs/>
        </w:rPr>
        <w:t xml:space="preserve">CGC-POE</w:t>
      </w:r>
      <w:r>
        <w:t xml:space="preserve"> </w:t>
      </w:r>
      <w:r>
        <w:t xml:space="preserve">format. Every one of the 18 points must have a corresponding procedure, record (RC-SI), and instruction (CGC-IOE).</w:t>
      </w:r>
      <w:r>
        <w:br/>
      </w:r>
    </w:p>
    <w:p>
      <w:pPr>
        <w:pStyle w:val="Compact"/>
        <w:numPr>
          <w:ilvl w:val="0"/>
          <w:numId w:val="1008"/>
        </w:numPr>
      </w:pPr>
      <w:r>
        <w:rPr>
          <w:b/>
          <w:bCs/>
        </w:rPr>
        <w:t xml:space="preserve">Digital Synchronization &amp; Macro Audit:</w:t>
      </w:r>
      <w:r>
        <w:t xml:space="preserve"> </w:t>
      </w:r>
      <w:r>
        <w:t xml:space="preserve">Categorize the 2,043 files into the SimplifICA procedural bins. Specifically, the</w:t>
      </w:r>
      <w:r>
        <w:t xml:space="preserve"> </w:t>
      </w:r>
      <w:r>
        <w:rPr>
          <w:b/>
          <w:bCs/>
        </w:rPr>
        <w:t xml:space="preserve">16 .xlsm macros</w:t>
      </w:r>
      <w:r>
        <w:t xml:space="preserve"> </w:t>
      </w:r>
      <w:r>
        <w:t xml:space="preserve">in</w:t>
      </w:r>
      <w:r>
        <w:t xml:space="preserve"> </w:t>
      </w:r>
      <w:r>
        <w:t xml:space="preserve">“05 Laboratorio”</w:t>
      </w:r>
      <w:r>
        <w:t xml:space="preserve"> </w:t>
      </w:r>
      <w:r>
        <w:t xml:space="preserve">must be hard-coded to reject formulations failing the new NPK minimums (</w:t>
      </w:r>
      <w:r>
        <w:t xml:space="preserve"> </w:t>
      </w:r>
      <w:r>
        <w:t xml:space="preserve">$10\\%$</w:t>
      </w:r>
      <w:r>
        <w:t xml:space="preserve"> </w:t>
      </w:r>
      <w:r>
        <w:t xml:space="preserve">/</w:t>
      </w:r>
      <w:r>
        <w:t xml:space="preserve"> </w:t>
      </w:r>
      <w:r>
        <w:t xml:space="preserve">$18\\%$</w:t>
      </w:r>
      <w:r>
        <w:t xml:space="preserve"> </w:t>
      </w:r>
      <w:r>
        <w:t xml:space="preserve">/</w:t>
      </w:r>
      <w:r>
        <w:t xml:space="preserve"> </w:t>
      </w:r>
      <w:r>
        <w:t xml:space="preserve">$15\\%$</w:t>
      </w:r>
      <w:r>
        <w:t xml:space="preserve"> </w:t>
      </w:r>
      <w:r>
        <w:t xml:space="preserve">) or metal limits.</w:t>
      </w:r>
      <w:r>
        <w:br/>
      </w:r>
    </w:p>
    <w:p>
      <w:pPr>
        <w:pStyle w:val="Compact"/>
        <w:numPr>
          <w:ilvl w:val="0"/>
          <w:numId w:val="1008"/>
        </w:numPr>
      </w:pPr>
      <w:r>
        <w:rPr>
          <w:b/>
          <w:bCs/>
        </w:rPr>
        <w:t xml:space="preserve">Residue Protocol Formalization:</w:t>
      </w:r>
      <w:r>
        <w:t xml:space="preserve"> </w:t>
      </w:r>
      <w:r>
        <w:t xml:space="preserve">Update</w:t>
      </w:r>
      <w:r>
        <w:t xml:space="preserve"> </w:t>
      </w:r>
      <w:r>
        <w:t xml:space="preserve">“02 Gestion Ambiental”</w:t>
      </w:r>
      <w:r>
        <w:t xml:space="preserve"> </w:t>
      </w:r>
      <w:r>
        <w:t xml:space="preserve">to include a signed protocol forbidding the reuse of</w:t>
      </w:r>
      <w:r>
        <w:t xml:space="preserve"> </w:t>
      </w:r>
      <w:r>
        <w:t xml:space="preserve">“barreduras”</w:t>
      </w:r>
      <w:r>
        <w:t xml:space="preserve"> </w:t>
      </w:r>
      <w:r>
        <w:t xml:space="preserve">(Art 12.3) and defining a documented disposal path for liquid waste.</w:t>
      </w:r>
      <w:r>
        <w:rPr>
          <w:b/>
          <w:bCs/>
        </w:rPr>
        <w:t xml:space="preserve">Strategic Benefits:</w:t>
      </w:r>
      <w:r>
        <w:t xml:space="preserve"> </w:t>
      </w:r>
      <w:r>
        <w:t xml:space="preserve">Successful adaptation will reduce response times for registration modifications from</w:t>
      </w:r>
      <w:r>
        <w:t xml:space="preserve"> </w:t>
      </w:r>
      <w:r>
        <w:rPr>
          <w:b/>
          <w:bCs/>
        </w:rPr>
        <w:t xml:space="preserve">60 calendar days to 20–30 business days</w:t>
      </w:r>
      <w:r>
        <w:t xml:space="preserve"> </w:t>
      </w:r>
      <w:r>
        <w:t xml:space="preserve">, providing a significant time-to-market advantage.</w:t>
      </w:r>
      <w:r>
        <w:rPr>
          <w:b/>
          <w:bCs/>
        </w:rPr>
        <w:t xml:space="preserve">Conclusion:</w:t>
      </w:r>
      <w:r>
        <w:t xml:space="preserve"> </w:t>
      </w:r>
      <w:r>
        <w:t xml:space="preserve">The shift from Resolution 150 to the pv0 framework is a move from administrative paperwork to</w:t>
      </w:r>
      <w:r>
        <w:t xml:space="preserve"> </w:t>
      </w:r>
      <w:r>
        <w:rPr>
          <w:b/>
          <w:bCs/>
        </w:rPr>
        <w:t xml:space="preserve">operational de-risking</w:t>
      </w:r>
      <w:r>
        <w:t xml:space="preserve"> </w:t>
      </w:r>
      <w:r>
        <w:t xml:space="preserve">. For Calferquim, failing to adapt within the 6-month window would require</w:t>
      </w:r>
      <w:r>
        <w:t xml:space="preserve"> </w:t>
      </w:r>
      <w:r>
        <w:t xml:space="preserve">“New Registrations”</w:t>
      </w:r>
      <w:r>
        <w:t xml:space="preserve"> </w:t>
      </w:r>
      <w:r>
        <w:t xml:space="preserve">for over 100 products—a financially catastrophic outcome. Proactive alignment with these high-standard GMP requirements is the only viable path to maintaining market access and operational legitimacy.</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2026-02-10T05:16:44Z</dcterms:created>
  <dcterms:modified xsi:type="dcterms:W3CDTF">2026-02-10T05:16:44Z</dcterms:modified>
</cp:coreProperties>
</file>

<file path=docProps/custom.xml><?xml version="1.0" encoding="utf-8"?>
<Properties xmlns="http://schemas.openxmlformats.org/officeDocument/2006/custom-properties" xmlns:vt="http://schemas.openxmlformats.org/officeDocument/2006/docPropsVTypes"/>
</file>