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El siguiente es un análisis y comparación detallada de los cambios presentados entre la Resolución No. 00150 de 2003 (en adelante, R150) y el documento</w:t>
      </w:r>
      <w:r>
        <w:t xml:space="preserve"> </w:t>
      </w:r>
      <w:r>
        <w:t xml:space="preserve">“pdf\_v0”</w:t>
      </w:r>
      <w:r>
        <w:t xml:space="preserve"> </w:t>
      </w:r>
      <w:r>
        <w:t xml:space="preserve">(la propuesta de resolución posterior, en adelante, pv0), priorizando las modificaciones en el ámbito regulatorio, técnico y de procedimiento.</w:t>
      </w:r>
    </w:p>
    <w:bookmarkStart w:id="9" w:name="X706abbe59414244db71ff84440296663c52a5da"/>
    <w:p>
      <w:pPr>
        <w:pStyle w:val="Heading3"/>
      </w:pPr>
      <w:r>
        <w:t xml:space="preserve">Análisis y Comparación Detallada: Resolución 150 de 2003 vs. pdf\_v0</w:t>
      </w:r>
    </w:p>
    <w:p>
      <w:pPr>
        <w:pStyle w:val="FirstParagraph"/>
      </w:pPr>
      <w:r>
        <w:t xml:space="preserve">La principal diferencia observada es que la propuesta en</w:t>
      </w:r>
      <w:r>
        <w:t xml:space="preserve"> </w:t>
      </w:r>
      <w:r>
        <w:rPr>
          <w:b/>
          <w:bCs/>
        </w:rPr>
        <w:t xml:space="preserve">pdf\_v0 busca modernizar, digitalizar y actualizar las normativas técnicas</w:t>
      </w:r>
      <w:r>
        <w:t xml:space="preserve"> </w:t>
      </w:r>
      <w:r>
        <w:t xml:space="preserve">establecidas en la R150, la cual data de 2003. Esta actualización se basa en nuevos mandatos de racionalización de trámites y la implementación de sistemas de información en línea (SimplifICA) 1, 2.</w:t>
      </w:r>
    </w:p>
    <w:p>
      <w:pPr>
        <w:pStyle w:val="BodyText"/>
      </w:pPr>
      <w:r>
        <w:t xml:space="preserve">Aspecto Comparado,Resolución 150 de 2003 (R150),Propuesta pdf\_v0 (pv0),Análisis de Cambio</w:t>
      </w:r>
    </w:p>
    <w:p>
      <w:pPr>
        <w:pStyle w:val="BodyText"/>
      </w:pPr>
      <w:r>
        <w:t xml:space="preserve">Objeto y Alcance,</w:t>
      </w:r>
      <w:r>
        <w:t xml:space="preserve">“Se enfoca en Fertilizantes y Acondicionadores de Suelos 3, 4. Buscaba orientar la comercialización, establecer requisitos armonizados y minimizar riesgos 5, 6.”</w:t>
      </w:r>
      <w:r>
        <w:t xml:space="preserve">,</w:t>
      </w:r>
      <w:r>
        <w:t xml:space="preserve">“Se extiende explícitamente a Fertilizantes, Acondicionadores de Suelos y Productos Afines para uso agrícola y en jardinería 7, 8. El objeto incluye específicamente establecer condiciones para ensayos de eficacia agronómica 8.”</w:t>
      </w:r>
      <w:r>
        <w:t xml:space="preserve">,</w:t>
      </w:r>
      <w:r>
        <w:t xml:space="preserve">“Expansión del Alcance: La inclusión de”</w:t>
      </w:r>
      <w:r>
        <w:t xml:space="preserve">“Productos Afines”</w:t>
      </w:r>
      <w:r>
        <w:t xml:space="preserve">” (como aminoácidos, extractos de algas marinas y sustratos 9) amplía el poder de control y registro del ICA.”</w:t>
      </w:r>
    </w:p>
    <w:p>
      <w:pPr>
        <w:pStyle w:val="BodyText"/>
      </w:pPr>
      <w:r>
        <w:t xml:space="preserve">Vigencia y Derogatoria,</w:t>
      </w:r>
      <w:r>
        <w:t xml:space="preserve">“Adoptada el 21 de enero de 2003 3, 10. Deroga resoluciones anteriores específicas 10.”</w:t>
      </w:r>
      <w:r>
        <w:t xml:space="preserve">,Deroga la Resolución ICA No. 150 de 2003 y la Resolución 968 de 2010 11. Se justifica en la modernización de trámites 1.,</w:t>
      </w:r>
      <w:r>
        <w:t xml:space="preserve">“Reemplazo Total: pv0 busca sustituir completamente la R150, reflejando un marco legal y tecnológico renovado.”</w:t>
      </w:r>
    </w:p>
    <w:p>
      <w:pPr>
        <w:pStyle w:val="BodyText"/>
      </w:pPr>
      <w:r>
        <w:t xml:space="preserve">Plataforma de Trámites,</w:t>
      </w:r>
      <w:r>
        <w:t xml:space="preserve">“El proceso era manual o presencial, referenciando formularios específicos (ej. Forma ICA 3-894, 3-895) 12-14.”</w:t>
      </w:r>
      <w:r>
        <w:t xml:space="preserve">,</w:t>
      </w:r>
      <w:r>
        <w:t xml:space="preserve">“Introduce SimplifICA, un sistema de información en línea para realizar trámites virtuales, basado en la gestión de riesgo y reducción de tiempos de respuesta 1, 2, 15.”</w:t>
      </w:r>
      <w:r>
        <w:t xml:space="preserve">,</w:t>
      </w:r>
      <w:r>
        <w:t xml:space="preserve">“Digitalización y Eficiencia: El cambio a SimplifICA busca agilizar y transparentar los procedimientos, en línea con la Ley 2052 de 2020 de racionalización de trámites 1.”</w:t>
      </w:r>
    </w:p>
    <w:p>
      <w:pPr>
        <w:pStyle w:val="BodyText"/>
      </w:pPr>
      <w:r>
        <w:t xml:space="preserve">Definiciones Clave,Utiliza definiciones de la NTC 1927 de 2001 16. Define Director Técnico 17. Define Formulador como mezcla sin síntesis 18.,</w:t>
      </w:r>
      <w:r>
        <w:t xml:space="preserve">“Introduce conceptos modernos: Acción estimulante 19, Asesor técnico (sustituyendo”</w:t>
      </w:r>
      <w:r>
        <w:t xml:space="preserve">“Director Técnico”</w:t>
      </w:r>
      <w:r>
        <w:t xml:space="preserve">“) 20. Define Carbono Orgánico Oxidable Total (COOT) 21. Detalla categorías de acondicionadores (húmicos, no húmicos, sintéticos) 20, 22. Define Productos a la medida (exentos de registro si se entregan directo al agricultor) 23.”</w:t>
      </w:r>
      <w:r>
        <w:t xml:space="preserve">,</w:t>
      </w:r>
      <w:r>
        <w:t xml:space="preserve">“Modernización Técnica: Se incorporan terminologías específicas (COOT, Biochar 21, 24) y se refina la clasificación de los productos, incluyendo aspectos de biología y procesos estimulantes 19.”</w:t>
      </w:r>
    </w:p>
    <w:bookmarkEnd w:id="9"/>
    <w:bookmarkStart w:id="10" w:name="Xb5aed479dcda074b2cbf9712b51d922eff5c2de"/>
    <w:p>
      <w:pPr>
        <w:pStyle w:val="Heading3"/>
      </w:pPr>
      <w:r>
        <w:t xml:space="preserve">Cambios en el Registro de Empresas y Obligaciones</w:t>
      </w:r>
    </w:p>
    <w:p>
      <w:pPr>
        <w:pStyle w:val="FirstParagraph"/>
      </w:pPr>
      <w:r>
        <w:t xml:space="preserve">Mientras que la R150 segregaba los requisitos para fabricantes/formuladores/envasadores/empacadores (Capítulo III) 25 de los importadores/distribuidores (Capítulo IV) 26, la pv0 los unifica en el Capítulo II 27.</w:t>
      </w:r>
    </w:p>
    <w:p>
      <w:pPr>
        <w:pStyle w:val="BodyText"/>
      </w:pPr>
      <w:r>
        <w:t xml:space="preserve">Aspecto,Resolución 150 de 2003 (R150),Propuesta pdf\_v0 (pv0)</w:t>
      </w:r>
    </w:p>
    <w:p>
      <w:pPr>
        <w:pStyle w:val="BodyText"/>
      </w:pPr>
      <w:r>
        <w:t xml:space="preserve">Vigencia del Registro de Empresa,</w:t>
      </w:r>
      <w:r>
        <w:t xml:space="preserve">“Vigencia indefinida 28, 29.”</w:t>
      </w:r>
      <w:r>
        <w:t xml:space="preserve">,Sujeto a modificación y revisión 30. Se requiere que el titular actualice su información de contacto cada cinco años 30.</w:t>
      </w:r>
    </w:p>
    <w:p>
      <w:pPr>
        <w:pStyle w:val="BodyText"/>
      </w:pPr>
      <w:r>
        <w:t xml:space="preserve">Revisión y Tiempos de Respuesta (ICA),</w:t>
      </w:r>
      <w:r>
        <w:t xml:space="preserve">“Si se requiere información adicional, el ICA concede 60 días calendario para responder; si no hay respuesta, se archiva 31, 32. El ICA expedía el registro en 60 días calendario (Fabricantes, etc.) 33.”</w:t>
      </w:r>
      <w:r>
        <w:t xml:space="preserve">,</w:t>
      </w:r>
      <w:r>
        <w:t xml:space="preserve">“Para el trámite de expedición, el ICA tiene un plazo máximo de treinta (30) días hábiles para la revisión inicial 34. Plazos específicos para visita técnica (20 días hábiles) y subsanación (15 días hábiles con una posible prórroga de 15 días) 35.”</w:t>
      </w:r>
    </w:p>
    <w:p>
      <w:pPr>
        <w:pStyle w:val="BodyText"/>
      </w:pPr>
      <w:r>
        <w:t xml:space="preserve">Control de Calidad (Obligaciones),</w:t>
      </w:r>
      <w:r>
        <w:t xml:space="preserve">“Requiere la presentación de contratos vigentes de control de calidad 13, 36.”</w:t>
      </w:r>
      <w:r>
        <w:t xml:space="preserve">,</w:t>
      </w:r>
      <w:r>
        <w:t xml:space="preserve">“Requiere que los análisis de control de calidad provengan de un laboratorio de control de calidad registrado en el ICA 37, 38. Se debe realizar control de calidad una vez al año y contar con los soportes 37.”</w:t>
      </w:r>
    </w:p>
    <w:p>
      <w:pPr>
        <w:pStyle w:val="BodyText"/>
      </w:pPr>
      <w:r>
        <w:t xml:space="preserve">Prohibiciones/Manejo de Residuos,No se detallan prohibiciones específicas sobre residuos o estiércoles.,</w:t>
      </w:r>
      <w:r>
        <w:t xml:space="preserve">“Prohíbe distribuir o destinar las barreduras para la elaboración de productos 39. Prohíbe distribuir, vender o transportar estiércol animal fresco para aplicación directa 40. Prohíbe elaborar productos a partir de materia fecal u orina humana (excepto compost de lodos de plantas de tratamiento) 40.”</w:t>
      </w:r>
    </w:p>
    <w:bookmarkEnd w:id="10"/>
    <w:bookmarkStart w:id="11" w:name="Xe3c4b6b72567f4f103c614bf11667129dbc4b83"/>
    <w:p>
      <w:pPr>
        <w:pStyle w:val="Heading3"/>
      </w:pPr>
      <w:r>
        <w:t xml:space="preserve">Cambios en Ensayos de Eficacia Agronómica</w:t>
      </w:r>
    </w:p>
    <w:p>
      <w:pPr>
        <w:pStyle w:val="FirstParagraph"/>
      </w:pPr>
      <w:r>
        <w:t xml:space="preserve">La pv0 introduce mayor precisión sobre cuándo se requieren los ensayos de eficacia y establece condiciones claras para las exenciones y homologaciones.</w:t>
      </w:r>
    </w:p>
    <w:p>
      <w:pPr>
        <w:pStyle w:val="BodyText"/>
      </w:pPr>
      <w:r>
        <w:t xml:space="preserve">Aspecto,Resolución 150 de 2003 (R150),Propuesta pdf\_v0 (pv0)</w:t>
      </w:r>
    </w:p>
    <w:p>
      <w:pPr>
        <w:pStyle w:val="BodyText"/>
      </w:pPr>
      <w:r>
        <w:t xml:space="preserve">Productos Exentos,</w:t>
      </w:r>
      <w:r>
        <w:t xml:space="preserve">“Exentos NPK compuestos de aplicación al suelo basados en fuentes reconocidas, fuentes simples de nutrientes principales/secundarios/micro, y acondicionadores de suelos de fuentes conocidas 41.”</w:t>
      </w:r>
      <w:r>
        <w:t xml:space="preserve">,</w:t>
      </w:r>
      <w:r>
        <w:t xml:space="preserve">“Exentos NPK compuestos mezclados de aplicación al suelo (fuentes reconocidas y requerimientos nutricionales del cultivo), pero se deben presentar soportes para garantizar las recomendaciones de uso (informe técnico/planes de fertilización) 42.”</w:t>
      </w:r>
    </w:p>
    <w:p>
      <w:pPr>
        <w:pStyle w:val="BodyText"/>
      </w:pPr>
      <w:r>
        <w:t xml:space="preserve">Homologación,No mencionada explícitamente.,</w:t>
      </w:r>
      <w:r>
        <w:t xml:space="preserve">“Se permite la homologación de ensayos si el producto tiene idéntica composición garantizada, materias primas y aditivos que un producto ya registrado, y si las pruebas se realizaron en Colombia por el mismo titular 43.”</w:t>
      </w:r>
    </w:p>
    <w:p>
      <w:pPr>
        <w:pStyle w:val="BodyText"/>
      </w:pPr>
      <w:r>
        <w:t xml:space="preserve">Requisitos del Protocolo (Guía),La Guía para protocolos se encontraba en el Anexo 7 44. No especificaba límites de extensión.,</w:t>
      </w:r>
      <w:r>
        <w:t xml:space="preserve">“La Guía (Anexo II-D) establece un contenido máximo de 5 páginas en letra arial tamaño 10 11. Requiere la presentación de un Testigo edáfico (plan de fertilización del agricultor) 45, y prohíbe evaluar la aplicación directa a la semilla 46.”</w:t>
      </w:r>
    </w:p>
    <w:bookmarkEnd w:id="11"/>
    <w:bookmarkStart w:id="15" w:name="X581a7b77a95663a9c6f4d6f2ee49dda46b8936b"/>
    <w:p>
      <w:pPr>
        <w:pStyle w:val="Heading3"/>
      </w:pPr>
      <w:r>
        <w:t xml:space="preserve">Cambios en el Registro de Venta/Producto (Capítulo V)</w:t>
      </w:r>
    </w:p>
    <w:p>
      <w:pPr>
        <w:pStyle w:val="FirstParagraph"/>
      </w:pPr>
      <w:r>
        <w:t xml:space="preserve">La pv0 agiliza drásticamente los plazos para la obtención del registro de producto y endurece las restricciones sobre los nombres comerciales y la composición garantizada.</w:t>
      </w:r>
    </w:p>
    <w:bookmarkStart w:id="12" w:name="X6b553620a88650389d21094018086c8d676b033"/>
    <w:p>
      <w:pPr>
        <w:pStyle w:val="Heading4"/>
      </w:pPr>
      <w:r>
        <w:t xml:space="preserve">Aceleración de Tiempos y Procedimiento Digital:</w:t>
      </w:r>
    </w:p>
    <w:p>
      <w:pPr>
        <w:pStyle w:val="FirstParagraph"/>
      </w:pPr>
      <w:r>
        <w:t xml:space="preserve">La R150 establecía que el ICA expediría el registro de venta dentro de los</w:t>
      </w:r>
      <w:r>
        <w:t xml:space="preserve"> </w:t>
      </w:r>
      <w:r>
        <w:rPr>
          <w:b/>
          <w:bCs/>
        </w:rPr>
        <w:t xml:space="preserve">sesenta (60) días calendario</w:t>
      </w:r>
      <w:r>
        <w:t xml:space="preserve"> </w:t>
      </w:r>
      <w:r>
        <w:t xml:space="preserve">siguientes a la radicación de la solicitud, con un plazo de 60 días adicionales para subsanar requerimientos 47, 48.</w:t>
      </w:r>
    </w:p>
    <w:p>
      <w:pPr>
        <w:pStyle w:val="BodyText"/>
      </w:pPr>
      <w:r>
        <w:t xml:space="preserve">La pv0, al operar mediante</w:t>
      </w:r>
      <w:r>
        <w:t xml:space="preserve"> </w:t>
      </w:r>
      <w:r>
        <w:rPr>
          <w:b/>
          <w:bCs/>
        </w:rPr>
        <w:t xml:space="preserve">SimplifICA</w:t>
      </w:r>
      <w:r>
        <w:t xml:space="preserve">, reduce este tiempo significativamente:</w:t>
      </w:r>
    </w:p>
    <w:p>
      <w:pPr>
        <w:pStyle w:val="Compact"/>
        <w:numPr>
          <w:ilvl w:val="0"/>
          <w:numId w:val="1001"/>
        </w:numPr>
      </w:pPr>
      <w:r>
        <w:t xml:space="preserve">El ICA tiene un plazo máximo de</w:t>
      </w:r>
      <w:r>
        <w:t xml:space="preserve"> </w:t>
      </w:r>
      <w:r>
        <w:rPr>
          <w:b/>
          <w:bCs/>
        </w:rPr>
        <w:t xml:space="preserve">veinte (20) días hábiles</w:t>
      </w:r>
      <w:r>
        <w:t xml:space="preserve"> </w:t>
      </w:r>
      <w:r>
        <w:t xml:space="preserve">para revisar inicialmente la solicitud de registro 15.</w:t>
      </w:r>
      <w:r>
        <w:br/>
      </w:r>
    </w:p>
    <w:p>
      <w:pPr>
        <w:pStyle w:val="Compact"/>
        <w:numPr>
          <w:ilvl w:val="0"/>
          <w:numId w:val="1001"/>
        </w:numPr>
      </w:pPr>
      <w:r>
        <w:t xml:space="preserve">Si se requiere información adicional, se concede un plazo máximo de</w:t>
      </w:r>
      <w:r>
        <w:t xml:space="preserve"> </w:t>
      </w:r>
      <w:r>
        <w:rPr>
          <w:b/>
          <w:bCs/>
        </w:rPr>
        <w:t xml:space="preserve">quince (15) días hábiles</w:t>
      </w:r>
      <w:r>
        <w:t xml:space="preserve"> </w:t>
      </w:r>
      <w:r>
        <w:t xml:space="preserve">(con una posible prórroga igual) para subsanar 49.</w:t>
      </w:r>
      <w:r>
        <w:br/>
      </w:r>
    </w:p>
    <w:p>
      <w:pPr>
        <w:pStyle w:val="Compact"/>
        <w:numPr>
          <w:ilvl w:val="0"/>
          <w:numId w:val="1001"/>
        </w:numPr>
      </w:pPr>
      <w:r>
        <w:t xml:space="preserve">Una vez recibida la respuesta, el ICA tiene un plazo no mayor a</w:t>
      </w:r>
      <w:r>
        <w:t xml:space="preserve"> </w:t>
      </w:r>
      <w:r>
        <w:rPr>
          <w:b/>
          <w:bCs/>
        </w:rPr>
        <w:t xml:space="preserve">quince (15) días hábiles</w:t>
      </w:r>
      <w:r>
        <w:t xml:space="preserve"> </w:t>
      </w:r>
      <w:r>
        <w:t xml:space="preserve">para emitir el registro o la negativa 50.</w:t>
      </w:r>
    </w:p>
    <w:bookmarkEnd w:id="12"/>
    <w:bookmarkStart w:id="13" w:name="restricciones-de-nombres-comerciales"/>
    <w:p>
      <w:pPr>
        <w:pStyle w:val="Heading4"/>
      </w:pPr>
      <w:r>
        <w:t xml:space="preserve">Restricciones de Nombres Comerciales:</w:t>
      </w:r>
    </w:p>
    <w:p>
      <w:pPr>
        <w:pStyle w:val="FirstParagraph"/>
      </w:pPr>
      <w:r>
        <w:t xml:space="preserve">La R150 prohibía sufijos, prefijos o adjetivos calificativos como</w:t>
      </w:r>
      <w:r>
        <w:t xml:space="preserve"> </w:t>
      </w:r>
      <w:r>
        <w:rPr>
          <w:i/>
          <w:iCs/>
        </w:rPr>
        <w:t xml:space="preserve">fuerte, plus, vigor, súper, hiper, mega, max, más, vita, vital, extra, eco</w:t>
      </w:r>
      <w:r>
        <w:t xml:space="preserve">, tanto en castellano como en inglés 51. Además, el prefijo</w:t>
      </w:r>
      <w:r>
        <w:t xml:space="preserve"> </w:t>
      </w:r>
      <w:r>
        <w:rPr>
          <w:i/>
          <w:iCs/>
        </w:rPr>
        <w:t xml:space="preserve">bio</w:t>
      </w:r>
      <w:r>
        <w:t xml:space="preserve"> </w:t>
      </w:r>
      <w:r>
        <w:t xml:space="preserve">solo podía usarse en acondicionadores orgánicos para agricultura ecológica que involucraran microorganismos 51.</w:t>
      </w:r>
    </w:p>
    <w:p>
      <w:pPr>
        <w:pStyle w:val="BodyText"/>
      </w:pPr>
      <w:r>
        <w:t xml:space="preserve">La pv0 mantiene la prohibición de denominaciones exageradas que induzcan a engaño o sustantivos que desvirtúen la naturaleza del producto, o aquellos que insinúen</w:t>
      </w:r>
      <w:r>
        <w:t xml:space="preserve"> </w:t>
      </w:r>
      <w:r>
        <w:rPr>
          <w:b/>
          <w:bCs/>
        </w:rPr>
        <w:t xml:space="preserve">propiedades ecológicas y atoxicidad</w:t>
      </w:r>
      <w:r>
        <w:t xml:space="preserve"> </w:t>
      </w:r>
      <w:r>
        <w:t xml:space="preserve">52. Específicamente, los prefijos</w:t>
      </w:r>
      <w:r>
        <w:t xml:space="preserve"> </w:t>
      </w:r>
      <w:r>
        <w:rPr>
          <w:b/>
          <w:bCs/>
        </w:rPr>
        <w:t xml:space="preserve">BIO y VITA</w:t>
      </w:r>
      <w:r>
        <w:t xml:space="preserve"> </w:t>
      </w:r>
      <w:r>
        <w:t xml:space="preserve">solo podrán ser usados en fertilizantes o acondicionadores orgánicos que involucren microorganismos en su proceso de obtención 53.</w:t>
      </w:r>
    </w:p>
    <w:bookmarkEnd w:id="13"/>
    <w:bookmarkStart w:id="14" w:name="X4ce8c6cf478987c7961f28c4bd9bf7cdda97d79"/>
    <w:p>
      <w:pPr>
        <w:pStyle w:val="Heading4"/>
      </w:pPr>
      <w:r>
        <w:t xml:space="preserve">Requisitos de Documentación y Composición:</w:t>
      </w:r>
    </w:p>
    <w:p>
      <w:pPr>
        <w:pStyle w:val="FirstParagraph"/>
      </w:pPr>
      <w:r>
        <w:t xml:space="preserve">La pv0 exige que, para los productos importados, se anexe el</w:t>
      </w:r>
      <w:r>
        <w:t xml:space="preserve"> </w:t>
      </w:r>
      <w:r>
        <w:rPr>
          <w:b/>
          <w:bCs/>
        </w:rPr>
        <w:t xml:space="preserve">Certificado de libre venta del país de origen</w:t>
      </w:r>
      <w:r>
        <w:t xml:space="preserve"> </w:t>
      </w:r>
      <w:r>
        <w:t xml:space="preserve">o un certificado de composición emitido por el formulador 54. Además, en el caso de materias primas, la pv0 requiere que estas aporten nutrientes o Carbono Orgánico Oxidable Total (COOT) a la composición garantizada del producto final; de lo contrario, no podrán ser utilizadas para postular la formulación a registro 55.</w:t>
      </w:r>
    </w:p>
    <w:bookmarkEnd w:id="14"/>
    <w:bookmarkEnd w:id="15"/>
    <w:bookmarkStart w:id="21" w:name="X1001852517e54f82088e6b2ef626b1805198940"/>
    <w:p>
      <w:pPr>
        <w:pStyle w:val="Heading3"/>
      </w:pPr>
      <w:r>
        <w:t xml:space="preserve">Cambios Técnicos en Contenidos Mínimos y Propiedades Garantizadas</w:t>
      </w:r>
    </w:p>
    <w:p>
      <w:pPr>
        <w:pStyle w:val="FirstParagraph"/>
      </w:pPr>
      <w:r>
        <w:t xml:space="preserve">La pv0 introduce el</w:t>
      </w:r>
      <w:r>
        <w:t xml:space="preserve"> </w:t>
      </w:r>
      <w:r>
        <w:rPr>
          <w:b/>
          <w:bCs/>
        </w:rPr>
        <w:t xml:space="preserve">Anexo II-B</w:t>
      </w:r>
      <w:r>
        <w:t xml:space="preserve"> </w:t>
      </w:r>
      <w:r>
        <w:t xml:space="preserve">que detalla extensamente los contenidos mínimos garantizables (nutrientes) y las propiedades físico-químicas, haciéndolos mucho más estrictos y específicos que la R150 (Anexo 11) 56, 57.</w:t>
      </w:r>
    </w:p>
    <w:bookmarkStart w:id="16" w:name="nutrientes-mayores-npk"/>
    <w:p>
      <w:pPr>
        <w:pStyle w:val="Heading4"/>
      </w:pPr>
      <w:r>
        <w:t xml:space="preserve">1. Nutrientes Mayores (NPK):</w:t>
      </w:r>
    </w:p>
    <w:p>
      <w:pPr>
        <w:pStyle w:val="FirstParagraph"/>
      </w:pPr>
      <w:r>
        <w:t xml:space="preserve">La R150 establecía mínimos generales del 3.0% para N, P2O5, y K2O en fórmulas NPK 57.</w:t>
      </w:r>
    </w:p>
    <w:p>
      <w:pPr>
        <w:pStyle w:val="BodyText"/>
      </w:pPr>
      <w:r>
        <w:t xml:space="preserve">La pv0 establece requisitos más altos y específicos para Fertilizantes Inorgánicos:</w:t>
      </w:r>
    </w:p>
    <w:p>
      <w:pPr>
        <w:pStyle w:val="Compact"/>
        <w:numPr>
          <w:ilvl w:val="0"/>
          <w:numId w:val="1002"/>
        </w:numPr>
      </w:pPr>
      <w:r>
        <w:rPr>
          <w:b/>
          <w:bCs/>
        </w:rPr>
        <w:t xml:space="preserve">Un solo nutriente mayor:</w:t>
      </w:r>
      <w:r>
        <w:t xml:space="preserve"> </w:t>
      </w:r>
      <w:r>
        <w:t xml:space="preserve">Mínimo</w:t>
      </w:r>
      <w:r>
        <w:t xml:space="preserve"> </w:t>
      </w:r>
      <w:r>
        <w:rPr>
          <w:b/>
          <w:bCs/>
        </w:rPr>
        <w:t xml:space="preserve">10%</w:t>
      </w:r>
      <w:r>
        <w:t xml:space="preserve"> </w:t>
      </w:r>
      <w:r>
        <w:t xml:space="preserve">(N, P2O5 o K2O) 58.</w:t>
      </w:r>
      <w:r>
        <w:br/>
      </w:r>
    </w:p>
    <w:p>
      <w:pPr>
        <w:pStyle w:val="Compact"/>
        <w:numPr>
          <w:ilvl w:val="0"/>
          <w:numId w:val="1002"/>
        </w:numPr>
      </w:pPr>
      <w:r>
        <w:rPr>
          <w:b/>
          <w:bCs/>
        </w:rPr>
        <w:t xml:space="preserve">Dos o más nutrientes mayores:</w:t>
      </w:r>
      <w:r>
        <w:t xml:space="preserve"> </w:t>
      </w:r>
      <w:r>
        <w:t xml:space="preserve">La sumatoria de los nutrientes mayores debe ser mínimo</w:t>
      </w:r>
      <w:r>
        <w:t xml:space="preserve"> </w:t>
      </w:r>
      <w:r>
        <w:rPr>
          <w:b/>
          <w:bCs/>
        </w:rPr>
        <w:t xml:space="preserve">18%</w:t>
      </w:r>
      <w:r>
        <w:t xml:space="preserve"> </w:t>
      </w:r>
      <w:r>
        <w:t xml:space="preserve">para formulaciones sólidas de uso edáfico, y</w:t>
      </w:r>
      <w:r>
        <w:t xml:space="preserve"> </w:t>
      </w:r>
      <w:r>
        <w:rPr>
          <w:b/>
          <w:bCs/>
        </w:rPr>
        <w:t xml:space="preserve">15%</w:t>
      </w:r>
      <w:r>
        <w:t xml:space="preserve"> </w:t>
      </w:r>
      <w:r>
        <w:t xml:space="preserve">para formulaciones sólidas de uso por fertirriego 59.</w:t>
      </w:r>
    </w:p>
    <w:bookmarkEnd w:id="16"/>
    <w:bookmarkStart w:id="17" w:name="X5c455ae9e88bb4022d30cda326e3b6cf6d6bf93"/>
    <w:p>
      <w:pPr>
        <w:pStyle w:val="Heading4"/>
      </w:pPr>
      <w:r>
        <w:t xml:space="preserve">2. Fertilizantes Orgánicos y Orgánico-Minerales:</w:t>
      </w:r>
    </w:p>
    <w:p>
      <w:pPr>
        <w:pStyle w:val="FirstParagraph"/>
      </w:pPr>
      <w:r>
        <w:t xml:space="preserve">La pv0 introduce requisitos específicos de composición y propiedades relacionadas con la materia orgánica y el proceso de obtención.</w:t>
      </w:r>
    </w:p>
    <w:p>
      <w:pPr>
        <w:pStyle w:val="Compact"/>
        <w:numPr>
          <w:ilvl w:val="0"/>
          <w:numId w:val="1003"/>
        </w:numPr>
      </w:pPr>
      <w:r>
        <w:rPr>
          <w:b/>
          <w:bCs/>
        </w:rPr>
        <w:t xml:space="preserve">Fertilizantes Orgánicos Sólidos:</w:t>
      </w:r>
      <w:r>
        <w:t xml:space="preserve"> </w:t>
      </w:r>
      <w:r>
        <w:t xml:space="preserve">COOT mínimo</w:t>
      </w:r>
      <w:r>
        <w:t xml:space="preserve"> </w:t>
      </w:r>
      <w:r>
        <w:rPr>
          <w:b/>
          <w:bCs/>
        </w:rPr>
        <w:t xml:space="preserve">12%</w:t>
      </w:r>
      <w:r>
        <w:t xml:space="preserve">. La suma de NPK garantizados debe ser mínimo</w:t>
      </w:r>
      <w:r>
        <w:t xml:space="preserve"> </w:t>
      </w:r>
      <w:r>
        <w:rPr>
          <w:b/>
          <w:bCs/>
        </w:rPr>
        <w:t xml:space="preserve">2%</w:t>
      </w:r>
      <w:r>
        <w:t xml:space="preserve"> </w:t>
      </w:r>
      <w:r>
        <w:t xml:space="preserve">60.</w:t>
      </w:r>
      <w:r>
        <w:br/>
      </w:r>
    </w:p>
    <w:p>
      <w:pPr>
        <w:pStyle w:val="Compact"/>
        <w:numPr>
          <w:ilvl w:val="0"/>
          <w:numId w:val="1003"/>
        </w:numPr>
      </w:pPr>
      <w:r>
        <w:rPr>
          <w:b/>
          <w:bCs/>
        </w:rPr>
        <w:t xml:space="preserve">Fertilizantes Orgánico-Minerales Sólidos:</w:t>
      </w:r>
      <w:r>
        <w:t xml:space="preserve"> </w:t>
      </w:r>
      <w:r>
        <w:t xml:space="preserve">COOT mínimo</w:t>
      </w:r>
      <w:r>
        <w:t xml:space="preserve"> </w:t>
      </w:r>
      <w:r>
        <w:rPr>
          <w:b/>
          <w:bCs/>
        </w:rPr>
        <w:t xml:space="preserve">5%</w:t>
      </w:r>
      <w:r>
        <w:t xml:space="preserve">. La suma de NPK garantizados debe ser mínimo</w:t>
      </w:r>
      <w:r>
        <w:t xml:space="preserve"> </w:t>
      </w:r>
      <w:r>
        <w:rPr>
          <w:b/>
          <w:bCs/>
        </w:rPr>
        <w:t xml:space="preserve">8%</w:t>
      </w:r>
      <w:r>
        <w:t xml:space="preserve"> </w:t>
      </w:r>
      <w:r>
        <w:t xml:space="preserve">61, 62.</w:t>
      </w:r>
    </w:p>
    <w:bookmarkEnd w:id="17"/>
    <w:bookmarkStart w:id="18" w:name="productos-afines-nuevos-requisitos"/>
    <w:p>
      <w:pPr>
        <w:pStyle w:val="Heading4"/>
      </w:pPr>
      <w:r>
        <w:t xml:space="preserve">3. Productos Afines (Nuevos Requisitos):</w:t>
      </w:r>
    </w:p>
    <w:p>
      <w:pPr>
        <w:pStyle w:val="Compact"/>
        <w:numPr>
          <w:ilvl w:val="0"/>
          <w:numId w:val="1004"/>
        </w:numPr>
      </w:pPr>
      <w:r>
        <w:rPr>
          <w:b/>
          <w:bCs/>
        </w:rPr>
        <w:t xml:space="preserve">Aminoácidos:</w:t>
      </w:r>
      <w:r>
        <w:t xml:space="preserve"> </w:t>
      </w:r>
      <w:r>
        <w:t xml:space="preserve">Se exige un mínimo de</w:t>
      </w:r>
      <w:r>
        <w:t xml:space="preserve"> </w:t>
      </w:r>
      <w:r>
        <w:rPr>
          <w:b/>
          <w:bCs/>
        </w:rPr>
        <w:t xml:space="preserve">6% de Aminoácidos libres</w:t>
      </w:r>
      <w:r>
        <w:t xml:space="preserve"> </w:t>
      </w:r>
      <w:r>
        <w:t xml:space="preserve">(para productos que solo contienen aminoácidos) 63. Se requiere declarar la fuente de origen de los aminoácidos 64.</w:t>
      </w:r>
      <w:r>
        <w:br/>
      </w:r>
    </w:p>
    <w:p>
      <w:pPr>
        <w:pStyle w:val="Compact"/>
        <w:numPr>
          <w:ilvl w:val="0"/>
          <w:numId w:val="1004"/>
        </w:numPr>
      </w:pPr>
      <w:r>
        <w:rPr>
          <w:b/>
          <w:bCs/>
        </w:rPr>
        <w:t xml:space="preserve">Extracto de Algas Marinas (Sólido):</w:t>
      </w:r>
      <w:r>
        <w:t xml:space="preserve"> </w:t>
      </w:r>
      <w:r>
        <w:t xml:space="preserve">Se establecen mínimos específicos para Ácido algínico (</w:t>
      </w:r>
      <w:r>
        <w:rPr>
          <w:b/>
          <w:bCs/>
        </w:rPr>
        <w:t xml:space="preserve">9%</w:t>
      </w:r>
      <w:r>
        <w:t xml:space="preserve">) y Manitol (</w:t>
      </w:r>
      <w:r>
        <w:rPr>
          <w:b/>
          <w:bCs/>
        </w:rPr>
        <w:t xml:space="preserve">3%</w:t>
      </w:r>
      <w:r>
        <w:t xml:space="preserve">) 65.</w:t>
      </w:r>
    </w:p>
    <w:bookmarkEnd w:id="18"/>
    <w:bookmarkStart w:id="19" w:name="Xa47fe68b029498bdf14107c476ed492e32d541f"/>
    <w:p>
      <w:pPr>
        <w:pStyle w:val="Heading4"/>
      </w:pPr>
      <w:r>
        <w:t xml:space="preserve">4. Requisitos de Inocuidad (Metales Pesados y Microbiológicos):</w:t>
      </w:r>
    </w:p>
    <w:p>
      <w:pPr>
        <w:pStyle w:val="FirstParagraph"/>
      </w:pPr>
      <w:r>
        <w:t xml:space="preserve">La pv0 introduce límites máximos obligatorios para metales pesados y contaminantes, aplicables a todos los productos:</w:t>
      </w:r>
    </w:p>
    <w:p>
      <w:pPr>
        <w:pStyle w:val="Compact"/>
        <w:numPr>
          <w:ilvl w:val="0"/>
          <w:numId w:val="1005"/>
        </w:numPr>
      </w:pPr>
      <w:r>
        <w:t xml:space="preserve">Arsénico (As): Máximo 41 mg/kg o L 66.</w:t>
      </w:r>
      <w:r>
        <w:br/>
      </w:r>
    </w:p>
    <w:p>
      <w:pPr>
        <w:pStyle w:val="Compact"/>
        <w:numPr>
          <w:ilvl w:val="0"/>
          <w:numId w:val="1005"/>
        </w:numPr>
      </w:pPr>
      <w:r>
        <w:t xml:space="preserve">Cadmio (Cd): Máximo 39 mg/kg o L 66.</w:t>
      </w:r>
      <w:r>
        <w:br/>
      </w:r>
    </w:p>
    <w:p>
      <w:pPr>
        <w:pStyle w:val="Compact"/>
        <w:numPr>
          <w:ilvl w:val="0"/>
          <w:numId w:val="1005"/>
        </w:numPr>
      </w:pPr>
      <w:r>
        <w:t xml:space="preserve">Plomo (Pb): Máximo 20 mg/kg o L 66.</w:t>
      </w:r>
      <w:r>
        <w:br/>
      </w:r>
    </w:p>
    <w:p>
      <w:pPr>
        <w:pStyle w:val="Compact"/>
        <w:numPr>
          <w:ilvl w:val="0"/>
          <w:numId w:val="1005"/>
        </w:numPr>
      </w:pPr>
      <w:r>
        <w:t xml:space="preserve">Níquel (Ni): Máximo 420 mg/kg o L (solo aplica a orgánicos y orgánico-minerales) 66, 67.</w:t>
      </w:r>
    </w:p>
    <w:p>
      <w:pPr>
        <w:pStyle w:val="FirstParagraph"/>
      </w:pPr>
      <w:r>
        <w:t xml:space="preserve">En cuanto a la inocuidad microbiológica (para productos con materia orgánica, excluyendo origen pedogenético), se exige:</w:t>
      </w:r>
    </w:p>
    <w:p>
      <w:pPr>
        <w:pStyle w:val="Compact"/>
        <w:numPr>
          <w:ilvl w:val="0"/>
          <w:numId w:val="1006"/>
        </w:numPr>
      </w:pPr>
      <w:r>
        <w:rPr>
          <w:i/>
          <w:iCs/>
        </w:rPr>
        <w:t xml:space="preserve">Salmonella spp:</w:t>
      </w:r>
      <w:r>
        <w:t xml:space="preserve"> </w:t>
      </w:r>
      <w:r>
        <w:t xml:space="preserve">Ausente en 25 g o mL 67.</w:t>
      </w:r>
      <w:r>
        <w:br/>
      </w:r>
    </w:p>
    <w:p>
      <w:pPr>
        <w:pStyle w:val="Compact"/>
        <w:numPr>
          <w:ilvl w:val="0"/>
          <w:numId w:val="1006"/>
        </w:numPr>
      </w:pPr>
      <w:r>
        <w:rPr>
          <w:i/>
          <w:iCs/>
        </w:rPr>
        <w:t xml:space="preserve">Coliformes totales:</w:t>
      </w:r>
      <w:r>
        <w:t xml:space="preserve"> </w:t>
      </w:r>
      <w:r>
        <w:t xml:space="preserve">&lt; 1000 UFC o NMP/ g o mL 67.</w:t>
      </w:r>
      <w:r>
        <w:br/>
      </w:r>
    </w:p>
    <w:p>
      <w:pPr>
        <w:pStyle w:val="Compact"/>
        <w:numPr>
          <w:ilvl w:val="0"/>
          <w:numId w:val="1006"/>
        </w:numPr>
      </w:pPr>
      <w:r>
        <w:rPr>
          <w:i/>
          <w:iCs/>
        </w:rPr>
        <w:t xml:space="preserve">Huevos de Helminto viables:</w:t>
      </w:r>
      <w:r>
        <w:t xml:space="preserve"> </w:t>
      </w:r>
      <w:r>
        <w:t xml:space="preserve">&lt; 1 individuo en 4 g de muestra (si aplica) 68.</w:t>
      </w:r>
    </w:p>
    <w:bookmarkEnd w:id="19"/>
    <w:bookmarkStart w:id="20" w:name="propiedades-físico-químicas-obligatorias"/>
    <w:p>
      <w:pPr>
        <w:pStyle w:val="Heading4"/>
      </w:pPr>
      <w:r>
        <w:t xml:space="preserve">5. Propiedades Físico-Químicas Obligatorias:</w:t>
      </w:r>
    </w:p>
    <w:p>
      <w:pPr>
        <w:pStyle w:val="FirstParagraph"/>
      </w:pPr>
      <w:r>
        <w:t xml:space="preserve">La pv0 añade la obligación de garantizar una amplia gama de propiedades físico-químicas, con rangos definidos para garantizar la estabilidad y calidad, tales como:</w:t>
      </w:r>
    </w:p>
    <w:p>
      <w:pPr>
        <w:pStyle w:val="Compact"/>
        <w:numPr>
          <w:ilvl w:val="0"/>
          <w:numId w:val="1007"/>
        </w:numPr>
      </w:pPr>
      <w:r>
        <w:t xml:space="preserve">pH en solución (con rango máximo de dos unidades) 69, 70.</w:t>
      </w:r>
      <w:r>
        <w:br/>
      </w:r>
    </w:p>
    <w:p>
      <w:pPr>
        <w:pStyle w:val="Compact"/>
        <w:numPr>
          <w:ilvl w:val="0"/>
          <w:numId w:val="1007"/>
        </w:numPr>
      </w:pPr>
      <w:r>
        <w:t xml:space="preserve">Densidad 71.</w:t>
      </w:r>
      <w:r>
        <w:br/>
      </w:r>
    </w:p>
    <w:p>
      <w:pPr>
        <w:pStyle w:val="Compact"/>
        <w:numPr>
          <w:ilvl w:val="0"/>
          <w:numId w:val="1007"/>
        </w:numPr>
      </w:pPr>
      <w:r>
        <w:t xml:space="preserve">Humedad máxima (ej. 1.5% en inorgánicos sólidos; 20% en orgánicos sólidos de origen animal) 72, 73.</w:t>
      </w:r>
      <w:r>
        <w:br/>
      </w:r>
    </w:p>
    <w:p>
      <w:pPr>
        <w:pStyle w:val="Compact"/>
        <w:numPr>
          <w:ilvl w:val="0"/>
          <w:numId w:val="1007"/>
        </w:numPr>
      </w:pPr>
      <w:r>
        <w:t xml:space="preserve">Solubilidad en agua (para foliares, fertirriego e hidroponía) 71.</w:t>
      </w:r>
      <w:r>
        <w:br/>
      </w:r>
    </w:p>
    <w:p>
      <w:pPr>
        <w:pStyle w:val="Compact"/>
        <w:numPr>
          <w:ilvl w:val="0"/>
          <w:numId w:val="1007"/>
        </w:numPr>
      </w:pPr>
      <w:r>
        <w:t xml:space="preserve">Conductividad eléctrica y Capacidad de Intercambio Catiónico (para orgánicos y sustratos) 73, 74.</w:t>
      </w:r>
      <w:r>
        <w:br/>
      </w:r>
    </w:p>
    <w:p>
      <w:pPr>
        <w:pStyle w:val="Compact"/>
        <w:numPr>
          <w:ilvl w:val="0"/>
          <w:numId w:val="1007"/>
        </w:numPr>
      </w:pPr>
      <w:r>
        <w:t xml:space="preserve">Poder Relativo de Neutralización Total (PRNT) (mínimo 50% para enmiendas, excepto azufre) 75.</w:t>
      </w:r>
    </w:p>
    <w:bookmarkEnd w:id="20"/>
    <w:bookmarkEnd w:id="21"/>
    <w:bookmarkStart w:id="22" w:name="cambios-en-etiquetado-anexo-ii-f"/>
    <w:p>
      <w:pPr>
        <w:pStyle w:val="Heading3"/>
      </w:pPr>
      <w:r>
        <w:t xml:space="preserve">Cambios en Etiquetado (Anexo II-F)</w:t>
      </w:r>
    </w:p>
    <w:p>
      <w:pPr>
        <w:pStyle w:val="FirstParagraph"/>
      </w:pPr>
      <w:r>
        <w:t xml:space="preserve">La pv0 detalla de manera más exhaustiva los requisitos de etiquetado (Anexo II-F), que deben presentarse en formato PDF legible 76, 77.</w:t>
      </w:r>
    </w:p>
    <w:p>
      <w:pPr>
        <w:pStyle w:val="Compact"/>
        <w:numPr>
          <w:ilvl w:val="0"/>
          <w:numId w:val="1008"/>
        </w:numPr>
      </w:pPr>
      <w:r>
        <w:rPr>
          <w:b/>
          <w:bCs/>
        </w:rPr>
        <w:t xml:space="preserve">Identificación Requerida:</w:t>
      </w:r>
      <w:r>
        <w:t xml:space="preserve"> </w:t>
      </w:r>
      <w:r>
        <w:t xml:space="preserve">Se exige resaltar en</w:t>
      </w:r>
      <w:r>
        <w:t xml:space="preserve"> </w:t>
      </w:r>
      <w:r>
        <w:rPr>
          <w:b/>
          <w:bCs/>
        </w:rPr>
        <w:t xml:space="preserve">negrilla</w:t>
      </w:r>
      <w:r>
        <w:t xml:space="preserve"> </w:t>
      </w:r>
      <w:r>
        <w:t xml:space="preserve">el número de registro ICA, el lote y el contenido o peso neto 77.</w:t>
      </w:r>
      <w:r>
        <w:br/>
      </w:r>
    </w:p>
    <w:p>
      <w:pPr>
        <w:pStyle w:val="Compact"/>
        <w:numPr>
          <w:ilvl w:val="0"/>
          <w:numId w:val="1008"/>
        </w:numPr>
      </w:pPr>
      <w:r>
        <w:rPr>
          <w:b/>
          <w:bCs/>
        </w:rPr>
        <w:t xml:space="preserve">Expresión de Nutrientes:</w:t>
      </w:r>
      <w:r>
        <w:t xml:space="preserve"> </w:t>
      </w:r>
      <w:r>
        <w:t xml:space="preserve">El contenido de nutrientes debe expresarse en</w:t>
      </w:r>
      <w:r>
        <w:t xml:space="preserve"> </w:t>
      </w:r>
      <w:r>
        <w:rPr>
          <w:b/>
          <w:bCs/>
        </w:rPr>
        <w:t xml:space="preserve">% para sólidos</w:t>
      </w:r>
      <w:r>
        <w:t xml:space="preserve"> </w:t>
      </w:r>
      <w:r>
        <w:t xml:space="preserve">y en</w:t>
      </w:r>
      <w:r>
        <w:t xml:space="preserve"> </w:t>
      </w:r>
      <w:r>
        <w:rPr>
          <w:b/>
          <w:bCs/>
        </w:rPr>
        <w:t xml:space="preserve">g/L para líquidos</w:t>
      </w:r>
      <w:r>
        <w:t xml:space="preserve">, utilizando una sola unidad decimal 78.</w:t>
      </w:r>
      <w:r>
        <w:br/>
      </w:r>
    </w:p>
    <w:p>
      <w:pPr>
        <w:pStyle w:val="Compact"/>
        <w:numPr>
          <w:ilvl w:val="0"/>
          <w:numId w:val="1008"/>
        </w:numPr>
      </w:pPr>
      <w:r>
        <w:rPr>
          <w:b/>
          <w:bCs/>
        </w:rPr>
        <w:t xml:space="preserve">Advertencias Obligatorias (Nuevas):</w:t>
      </w:r>
      <w:r>
        <w:t xml:space="preserve"> </w:t>
      </w:r>
      <w:r>
        <w:t xml:space="preserve">Se exige la inclusión de la frase:</w:t>
      </w:r>
      <w:r>
        <w:t xml:space="preserve"> </w:t>
      </w:r>
      <w:r>
        <w:rPr>
          <w:b/>
          <w:bCs/>
        </w:rPr>
        <w:t xml:space="preserve">“Este fertilizante para uso foliar y/o en fertirriego es un complemento y no un sustituto de la fertilización edáfica”</w:t>
      </w:r>
      <w:r>
        <w:t xml:space="preserve"> </w:t>
      </w:r>
      <w:r>
        <w:t xml:space="preserve">(cuando aplique) 79.</w:t>
      </w:r>
      <w:r>
        <w:br/>
      </w:r>
    </w:p>
    <w:p>
      <w:pPr>
        <w:pStyle w:val="Compact"/>
        <w:numPr>
          <w:ilvl w:val="0"/>
          <w:numId w:val="1008"/>
        </w:numPr>
      </w:pPr>
      <w:r>
        <w:rPr>
          <w:b/>
          <w:bCs/>
        </w:rPr>
        <w:t xml:space="preserve">Precauciones de Dilución:</w:t>
      </w:r>
      <w:r>
        <w:t xml:space="preserve"> </w:t>
      </w:r>
      <w:r>
        <w:t xml:space="preserve">Se deben incluir recomendaciones de dilución para productos con pH menor a 4. Igualmente, si el contenido de Sodio supera el 2%, se debe indicar la cantidad de Sodio que aporta el producto según la dosificación de referencia 80.</w:t>
      </w:r>
      <w:r>
        <w:br/>
      </w:r>
    </w:p>
    <w:p>
      <w:pPr>
        <w:pStyle w:val="Compact"/>
        <w:numPr>
          <w:ilvl w:val="0"/>
          <w:numId w:val="1008"/>
        </w:numPr>
      </w:pPr>
      <w:r>
        <w:rPr>
          <w:b/>
          <w:bCs/>
        </w:rPr>
        <w:t xml:space="preserve">Clasificación Detallada:</w:t>
      </w:r>
      <w:r>
        <w:t xml:space="preserve"> </w:t>
      </w:r>
      <w:r>
        <w:t xml:space="preserve">Se requiere incluir leyendas bajo la clasificación si el producto contiene otros elementos, como</w:t>
      </w:r>
      <w:r>
        <w:t xml:space="preserve"> </w:t>
      </w:r>
      <w:r>
        <w:t xml:space="preserve">“con aminoácidos”</w:t>
      </w:r>
      <w:r>
        <w:t xml:space="preserve">,</w:t>
      </w:r>
      <w:r>
        <w:t xml:space="preserve"> </w:t>
      </w:r>
      <w:r>
        <w:t xml:space="preserve">“con micronutrientes”</w:t>
      </w:r>
      <w:r>
        <w:t xml:space="preserve"> </w:t>
      </w:r>
      <w:r>
        <w:t xml:space="preserve">o</w:t>
      </w:r>
      <w:r>
        <w:t xml:space="preserve"> </w:t>
      </w:r>
      <w:r>
        <w:t xml:space="preserve">“con carbono orgánico de tratamiento químico”</w:t>
      </w:r>
      <w:r>
        <w:t xml:space="preserve"> </w:t>
      </w:r>
      <w:r>
        <w:t xml:space="preserve">78, 81.</w:t>
      </w:r>
    </w:p>
    <w:bookmarkEnd w:id="22"/>
    <w:bookmarkStart w:id="23" w:name="disposiciones-transitorias-capítulo-vii"/>
    <w:p>
      <w:pPr>
        <w:pStyle w:val="Heading3"/>
      </w:pPr>
      <w:r>
        <w:t xml:space="preserve">Disposiciones Transitorias (Capítulo VII)</w:t>
      </w:r>
    </w:p>
    <w:p>
      <w:pPr>
        <w:pStyle w:val="FirstParagraph"/>
      </w:pPr>
      <w:r>
        <w:t xml:space="preserve">La R150 preveía un plazo de un (1) año para actualizar la información de registro 82.</w:t>
      </w:r>
    </w:p>
    <w:p>
      <w:pPr>
        <w:pStyle w:val="BodyText"/>
      </w:pPr>
      <w:r>
        <w:t xml:space="preserve">La pv0 establece un periodo transitorio de</w:t>
      </w:r>
      <w:r>
        <w:t xml:space="preserve"> </w:t>
      </w:r>
      <w:r>
        <w:rPr>
          <w:b/>
          <w:bCs/>
        </w:rPr>
        <w:t xml:space="preserve">seis (6) meses</w:t>
      </w:r>
      <w:r>
        <w:t xml:space="preserve"> </w:t>
      </w:r>
      <w:r>
        <w:t xml:space="preserve">a partir de la entrada en funcionamiento de SimplifICA, para que los titulares de registros vigentes ingresen toda la información en la plataforma digital 83. Si no se cumple con la corrección de la información solicitada en dos oportunidades de 15 días hábiles, la empresa deberá solicitar un</w:t>
      </w:r>
      <w:r>
        <w:t xml:space="preserve"> </w:t>
      </w:r>
      <w:r>
        <w:rPr>
          <w:b/>
          <w:bCs/>
        </w:rPr>
        <w:t xml:space="preserve">nuevo registro</w:t>
      </w:r>
      <w:r>
        <w:t xml:space="preserve"> </w:t>
      </w:r>
      <w:r>
        <w:t xml:space="preserve">84, 85. Además, los productos que no cumplan con los nuevos requisitos técnicos establecidos en la pv0 deben someterse a un</w:t>
      </w:r>
      <w:r>
        <w:t xml:space="preserve"> </w:t>
      </w:r>
      <w:r>
        <w:rPr>
          <w:b/>
          <w:bCs/>
        </w:rPr>
        <w:t xml:space="preserve">proceso de revaluación</w:t>
      </w:r>
      <w:r>
        <w:t xml:space="preserve"> </w:t>
      </w:r>
      <w:r>
        <w:t xml:space="preserve">ante el ICA 86.</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2026-02-10T05:16:54Z</dcterms:created>
  <dcterms:modified xsi:type="dcterms:W3CDTF">2026-02-10T05:16:54Z</dcterms:modified>
</cp:coreProperties>
</file>

<file path=docProps/custom.xml><?xml version="1.0" encoding="utf-8"?>
<Properties xmlns="http://schemas.openxmlformats.org/officeDocument/2006/custom-properties" xmlns:vt="http://schemas.openxmlformats.org/officeDocument/2006/docPropsVTypes"/>
</file>