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El análisis detallado a continuación compara las exigencias del sistema de calidad que deben cumplir las empresas registradas (fabricantes, formuladores, envasadores e importadores/distribuidores) bajo la Resolución 150 de 2003 (R150) versus las establecidas en la propuesta de resolución, documento</w:t>
      </w:r>
      <w:r>
        <w:t xml:space="preserve"> </w:t>
      </w:r>
      <w:r>
        <w:t xml:space="preserve">“pdf\_v0”</w:t>
      </w:r>
      <w:r>
        <w:t xml:space="preserve"> </w:t>
      </w:r>
      <w:r>
        <w:t xml:space="preserve">(pv0).</w:t>
      </w:r>
    </w:p>
    <w:p>
      <w:pPr>
        <w:pStyle w:val="BodyText"/>
      </w:pPr>
      <w:r>
        <w:t xml:space="preserve">La pv0 muestra una evolución hacia un sistema de gestión de calidad más riguroso, procedimental y digitalizado, enfocándose en la trazabilidad, la inocuidad y la formalización de los procedimientos internos de las empresas.</w:t>
      </w:r>
    </w:p>
    <w:bookmarkStart w:id="9" w:name="X32aa99ce0dfccde724e99cf96824dadd520fce3"/>
    <w:p>
      <w:pPr>
        <w:pStyle w:val="Heading3"/>
      </w:pPr>
      <w:r>
        <w:t xml:space="preserve">Comparación Detallada de Exigencias del Sistema de Calidad</w:t>
      </w:r>
    </w:p>
    <w:p>
      <w:pPr>
        <w:pStyle w:val="FirstParagraph"/>
      </w:pPr>
      <w:r>
        <w:t xml:space="preserve">Aspecto del Control de Calidad,R150 (Resolución 150 de 2003),pv0 (Propuesta pdf\_v0),Análisis de Cambio</w:t>
      </w:r>
    </w:p>
    <w:p>
      <w:pPr>
        <w:pStyle w:val="BodyText"/>
      </w:pPr>
      <w:r>
        <w:t xml:space="preserve">Documentación Inicial (Requisitos),</w:t>
      </w:r>
      <w:r>
        <w:t xml:space="preserve">“Se exigía presentar copias de contratos vigentes (de dirección técnica, producción y control de calidad) 1, 2. Los envasadores/empacadores para venta al detal podían estar exentos del contrato de control de calidad si tenían contrato de provisión con empresas productoras registradas 1.”</w:t>
      </w:r>
      <w:r>
        <w:t xml:space="preserve">,</w:t>
      </w:r>
      <w:r>
        <w:t xml:space="preserve">“Se exige la información de los Laboratorios con los que se realizará el control de calidad 3. Si el laboratorio es contratado, se debe informar con qué persona registrada se contrata la actividad 4.”</w:t>
      </w:r>
      <w:r>
        <w:t xml:space="preserve">,</w:t>
      </w:r>
      <w:r>
        <w:t xml:space="preserve">“Simplificación Documental Inicial: pv0 se enfoca en identificar al responsable del laboratorio en el sistema SimplifICA 5, en lugar de requerir copias de contratos físicos (aunque la relación contractual sigue siendo necesaria).”</w:t>
      </w:r>
    </w:p>
    <w:p>
      <w:pPr>
        <w:pStyle w:val="BodyText"/>
      </w:pPr>
      <w:r>
        <w:t xml:space="preserve">Regulación del Laboratorio de Control,</w:t>
      </w:r>
      <w:r>
        <w:t xml:space="preserve">“La verificación de la conformidad se realizaba mediante ICA o”</w:t>
      </w:r>
      <w:r>
        <w:t xml:space="preserve">“laboratorios de control de calidad registrados ante el ICA para prestar servicios a terceros en esta área”</w:t>
      </w:r>
      <w:r>
        <w:t xml:space="preserve">” 6. Para el registro de producto, se aceptaban análisis de laboratorios registrados ante el ICA o del fabricante en el exterior 7.”,</w:t>
      </w:r>
      <w:r>
        <w:t xml:space="preserve">“La empresa está obligada a disponer de un laboratorio, propio o contratado, registrado ante el ICA 8. Además, todos los análisis de control de calidad interno deben provenir de un laboratorio de control de calidad registrado en el ICA 9. Para productos importados, se aceptan análisis del exterior solo si el laboratorio en el exterior está registrado ante el ICA 10.”</w:t>
      </w:r>
      <w:r>
        <w:t xml:space="preserve">,</w:t>
      </w:r>
      <w:r>
        <w:t xml:space="preserve">“Requisito de Registro Estricto: pv0 endurece la obligación de que el laboratorio, ya sea propio o contratado, esté registrado ante el ICA 8. Esto garantiza que los análisis usados para control interno y para la postulación a registro cumplan con los estándares de calidad que exige la entidad.”</w:t>
      </w:r>
    </w:p>
    <w:p>
      <w:pPr>
        <w:pStyle w:val="BodyText"/>
      </w:pPr>
      <w:r>
        <w:t xml:space="preserve">Frecuencia del Control Interno,Se obligaba a realizar análisis para control interno de la calidad de acuerdo con lo dispuesto en el Reglamento Técnico 11. No se especifica una periodicidad obligatoria.,Se obliga explícitamente a realizar los análisis para el control de calidad una vez al año de los productos y a contar con todos los soportes de este control 9.,</w:t>
      </w:r>
      <w:r>
        <w:t xml:space="preserve">“Formalización de la Frecuencia: pv0 introduce una periodicidad mínima anual para el control de calidad interno, lo cual mejora la vigilancia continua de la calidad del producto en el mercado.”</w:t>
      </w:r>
    </w:p>
    <w:p>
      <w:pPr>
        <w:pStyle w:val="BodyText"/>
      </w:pPr>
      <w:r>
        <w:t xml:space="preserve">Procedimientos Documentados (General),</w:t>
      </w:r>
      <w:r>
        <w:t xml:space="preserve">“Se requerían documentaciones detalladas de los procesos, incluyendo molienda, mezclado, loteo, toma de muestras, y balance de materiales 12.”</w:t>
      </w:r>
      <w:r>
        <w:t xml:space="preserve">,</w:t>
      </w:r>
      <w:r>
        <w:t xml:space="preserve">“El Anexo I-A y I-B de pv0 formaliza y expande drásticamente las exigencias procedimentales 13, 14. Exige específicamente:”</w:t>
      </w:r>
      <w:r>
        <w:t xml:space="preserve">“Procedimientos documentados, formatos y registros”</w:t>
      </w:r>
      <w:r>
        <w:t xml:space="preserve">” para 18 puntos, incluyendo el control de proveedores, liberación de lotes al comercio, y almacenamiento de contramuestras 15, 16.”,</w:t>
      </w:r>
      <w:r>
        <w:t xml:space="preserve">“Adopción de Buenas Prácticas (GMP/GDP): La pv0 convierte la documentación de procesos en un sistema formal de procedimientos que abarca desde la recepción de la materia prima hasta la liberación del lote y la atención de reclamos 15, 17, 18.”</w:t>
      </w:r>
    </w:p>
    <w:p>
      <w:pPr>
        <w:pStyle w:val="BodyText"/>
      </w:pPr>
      <w:r>
        <w:t xml:space="preserve">Gestión de Residuos y Barreduras,</w:t>
      </w:r>
      <w:r>
        <w:t xml:space="preserve">“R150 requería documentar los procesos, pero no se especificaba la gestión de residuos o barreduras 12.”</w:t>
      </w:r>
      <w:r>
        <w:t xml:space="preserve">,</w:t>
      </w:r>
      <w:r>
        <w:t xml:space="preserve">“pv0 requiere un procedimiento documentado para la formulación y envasado que debe incluir el manejo o disposición de las barreduras y/o residuos líquidos 8, 18. Además, prohíbe expresamente distribuir o destinar las barreduras para la elaboración de fertilizantes 19.”</w:t>
      </w:r>
      <w:r>
        <w:t xml:space="preserve">,Enfoque en Inocuidad y Ambiente: Esta es una adición clave que garantiza la inocuidad y previene la reutilización de material contaminado o barrido en la cadena productiva 19.</w:t>
      </w:r>
    </w:p>
    <w:p>
      <w:pPr>
        <w:pStyle w:val="BodyText"/>
      </w:pPr>
      <w:r>
        <w:t xml:space="preserve">Nivel de Detalle en Visitas Técnicas,La visita técnica (al momento del registro) verificaba la información del formulario y las instalaciones 20.,</w:t>
      </w:r>
      <w:r>
        <w:t xml:space="preserve">“El Anexo I-B funciona como un acta de verificación estandarizada 14 que evalúa requisitos detallados sobre coherencia del croquis, flujo de proceso, equipos, áreas, y la implementación de los procedimientos de calidad (ej. toma de muestras, manejo de contramuestras, archivo documental) 16, 17, 21, 22.”</w:t>
      </w:r>
      <w:r>
        <w:t xml:space="preserve">,</w:t>
      </w:r>
      <w:r>
        <w:t xml:space="preserve">“Estandarización del Control: La pv0 utiliza un listado de verificación formal 14, lo que obliga a la empresa a demostrar el cumplimiento físico y documental de su sistema de gestión de calidad.”</w:t>
      </w:r>
    </w:p>
    <w:p>
      <w:pPr>
        <w:pStyle w:val="BodyText"/>
      </w:pPr>
      <w:r>
        <w:t xml:space="preserve">Asesoramiento Técnico,</w:t>
      </w:r>
      <w:r>
        <w:t xml:space="preserve">“Requería la existencia de un Director Técnico 1, 23.”</w:t>
      </w:r>
      <w:r>
        <w:t xml:space="preserve">,</w:t>
      </w:r>
      <w:r>
        <w:t xml:space="preserve">“Se renombra a Asesor Técnico y se exige su acompañamiento permanente 9, 24.”</w:t>
      </w:r>
      <w:r>
        <w:t xml:space="preserve">,</w:t>
      </w:r>
      <w:r>
        <w:t xml:space="preserve">“Actualización Terminológica: Mantiene la figura del profesional responsable, siendo un requisito esencial para la capacidad de la empresa 9.”</w:t>
      </w:r>
    </w:p>
    <w:bookmarkEnd w:id="9"/>
    <w:bookmarkStart w:id="13" w:name="X610ee587e855f883fc362871a733fc57e05871c"/>
    <w:p>
      <w:pPr>
        <w:pStyle w:val="Heading3"/>
      </w:pPr>
      <w:r>
        <w:t xml:space="preserve">Análisis de las Exigencias de Calidad en la pv0</w:t>
      </w:r>
    </w:p>
    <w:p>
      <w:pPr>
        <w:pStyle w:val="FirstParagraph"/>
      </w:pPr>
      <w:r>
        <w:t xml:space="preserve">La pv0 transforma el control de calidad de una serie de requisitos contractuales y técnicos a un</w:t>
      </w:r>
      <w:r>
        <w:t xml:space="preserve"> </w:t>
      </w:r>
      <w:r>
        <w:rPr>
          <w:b/>
          <w:bCs/>
        </w:rPr>
        <w:t xml:space="preserve">sistema integrado de gestión y documentación</w:t>
      </w:r>
      <w:r>
        <w:t xml:space="preserve"> </w:t>
      </w:r>
      <w:r>
        <w:t xml:space="preserve">15.</w:t>
      </w:r>
    </w:p>
    <w:bookmarkStart w:id="10" w:name="X95595695083dd17c38e80f0a6c89b639dd96470"/>
    <w:p>
      <w:pPr>
        <w:pStyle w:val="Heading4"/>
      </w:pPr>
      <w:r>
        <w:t xml:space="preserve">1. Formalización de Procedimientos Operativos</w:t>
      </w:r>
    </w:p>
    <w:p>
      <w:pPr>
        <w:pStyle w:val="FirstParagraph"/>
      </w:pPr>
      <w:r>
        <w:t xml:space="preserve">Mientras que R150 pedía documentar los procesos básicos (molienda, mezclado) 12, pv0 detalla la necesidad de procedimientos operativos estandarizados (POE) que cubren el ciclo completo de la producción y post-producción, lo cual es indicativo de un enfoque de Buenas Prácticas de Manufactura (GMP) y Distribución (GDP):</w:t>
      </w:r>
    </w:p>
    <w:p>
      <w:pPr>
        <w:pStyle w:val="Compact"/>
        <w:numPr>
          <w:ilvl w:val="0"/>
          <w:numId w:val="1001"/>
        </w:numPr>
      </w:pPr>
      <w:r>
        <w:rPr>
          <w:b/>
          <w:bCs/>
        </w:rPr>
        <w:t xml:space="preserve">Gestión de Insumos:</w:t>
      </w:r>
      <w:r>
        <w:t xml:space="preserve"> </w:t>
      </w:r>
      <w:r>
        <w:t xml:space="preserve">Se exige documentación de</w:t>
      </w:r>
      <w:r>
        <w:t xml:space="preserve"> </w:t>
      </w:r>
      <w:r>
        <w:rPr>
          <w:b/>
          <w:bCs/>
        </w:rPr>
        <w:t xml:space="preserve">control de proveedores</w:t>
      </w:r>
      <w:r>
        <w:t xml:space="preserve"> </w:t>
      </w:r>
      <w:r>
        <w:t xml:space="preserve">15 y</w:t>
      </w:r>
      <w:r>
        <w:t xml:space="preserve"> </w:t>
      </w:r>
      <w:r>
        <w:rPr>
          <w:b/>
          <w:bCs/>
        </w:rPr>
        <w:t xml:space="preserve">balance de materias primas</w:t>
      </w:r>
      <w:r>
        <w:t xml:space="preserve"> </w:t>
      </w:r>
      <w:r>
        <w:t xml:space="preserve">15, 17, asegurando que solo se utilicen materiales aprobados en la formulación.</w:t>
      </w:r>
      <w:r>
        <w:br/>
      </w:r>
    </w:p>
    <w:p>
      <w:pPr>
        <w:pStyle w:val="Compact"/>
        <w:numPr>
          <w:ilvl w:val="0"/>
          <w:numId w:val="1001"/>
        </w:numPr>
      </w:pPr>
      <w:r>
        <w:rPr>
          <w:b/>
          <w:bCs/>
        </w:rPr>
        <w:t xml:space="preserve">Trazabilidad y Loteo:</w:t>
      </w:r>
      <w:r>
        <w:t xml:space="preserve"> </w:t>
      </w:r>
      <w:r>
        <w:t xml:space="preserve">Se requiere documentar los procedimientos de</w:t>
      </w:r>
      <w:r>
        <w:t xml:space="preserve"> </w:t>
      </w:r>
      <w:r>
        <w:rPr>
          <w:b/>
          <w:bCs/>
        </w:rPr>
        <w:t xml:space="preserve">codificación de lotes</w:t>
      </w:r>
      <w:r>
        <w:t xml:space="preserve"> </w:t>
      </w:r>
      <w:r>
        <w:t xml:space="preserve">y</w:t>
      </w:r>
      <w:r>
        <w:t xml:space="preserve"> </w:t>
      </w:r>
      <w:r>
        <w:rPr>
          <w:b/>
          <w:bCs/>
        </w:rPr>
        <w:t xml:space="preserve">liberación de lotes al comercio</w:t>
      </w:r>
      <w:r>
        <w:t xml:space="preserve"> </w:t>
      </w:r>
      <w:r>
        <w:t xml:space="preserve">15, 16, lo cual es crucial para la trazabilidad y la gestión de riesgos en caso de un retiro de producto.</w:t>
      </w:r>
      <w:r>
        <w:br/>
      </w:r>
    </w:p>
    <w:p>
      <w:pPr>
        <w:pStyle w:val="Compact"/>
        <w:numPr>
          <w:ilvl w:val="0"/>
          <w:numId w:val="1001"/>
        </w:numPr>
      </w:pPr>
      <w:r>
        <w:rPr>
          <w:b/>
          <w:bCs/>
        </w:rPr>
        <w:t xml:space="preserve">Muestreo y Contramuestras:</w:t>
      </w:r>
      <w:r>
        <w:t xml:space="preserve"> </w:t>
      </w:r>
      <w:r>
        <w:t xml:space="preserve">La pv0 obliga a tener procedimientos documentados para la</w:t>
      </w:r>
      <w:r>
        <w:t xml:space="preserve"> </w:t>
      </w:r>
      <w:r>
        <w:rPr>
          <w:b/>
          <w:bCs/>
        </w:rPr>
        <w:t xml:space="preserve">toma de muestras para control de calidad</w:t>
      </w:r>
      <w:r>
        <w:t xml:space="preserve"> </w:t>
      </w:r>
      <w:r>
        <w:t xml:space="preserve">y el</w:t>
      </w:r>
      <w:r>
        <w:t xml:space="preserve"> </w:t>
      </w:r>
      <w:r>
        <w:rPr>
          <w:b/>
          <w:bCs/>
        </w:rPr>
        <w:t xml:space="preserve">almacenamiento de contramuestras</w:t>
      </w:r>
      <w:r>
        <w:t xml:space="preserve"> </w:t>
      </w:r>
      <w:r>
        <w:t xml:space="preserve">16. La R150 mencionaba la toma de muestras por parte del ICA 25, pero pv0 formaliza el manejo de las muestras internas de la empresa.</w:t>
      </w:r>
      <w:r>
        <w:br/>
      </w:r>
    </w:p>
    <w:p>
      <w:pPr>
        <w:pStyle w:val="Compact"/>
        <w:numPr>
          <w:ilvl w:val="0"/>
          <w:numId w:val="1001"/>
        </w:numPr>
      </w:pPr>
      <w:r>
        <w:rPr>
          <w:b/>
          <w:bCs/>
        </w:rPr>
        <w:t xml:space="preserve">Servicio al Cliente:</w:t>
      </w:r>
      <w:r>
        <w:t xml:space="preserve"> </w:t>
      </w:r>
      <w:r>
        <w:t xml:space="preserve">Se requiere un procedimiento documentado para el</w:t>
      </w:r>
      <w:r>
        <w:t xml:space="preserve"> </w:t>
      </w:r>
      <w:r>
        <w:rPr>
          <w:b/>
          <w:bCs/>
        </w:rPr>
        <w:t xml:space="preserve">servicio al cliente y atención a peticiones, quejas y reclamos</w:t>
      </w:r>
      <w:r>
        <w:t xml:space="preserve">, incluyendo parámetros de tiempos de atención 18.</w:t>
      </w:r>
    </w:p>
    <w:bookmarkEnd w:id="10"/>
    <w:bookmarkStart w:id="11" w:name="Xbd8388e9f727f4ce13fa2cc89246e1aaacca3f2"/>
    <w:p>
      <w:pPr>
        <w:pStyle w:val="Heading4"/>
      </w:pPr>
      <w:r>
        <w:t xml:space="preserve">2. Requisitos Estrictos para Laboratorios Registrados</w:t>
      </w:r>
    </w:p>
    <w:p>
      <w:pPr>
        <w:pStyle w:val="FirstParagraph"/>
      </w:pPr>
      <w:r>
        <w:t xml:space="preserve">Bajo la R150, la obligación de tener un laboratorio registrado parecía centrarse en aquellos que ofrecían servicios a terceros 6. La pv0 extiende este requisito a la</w:t>
      </w:r>
      <w:r>
        <w:t xml:space="preserve"> </w:t>
      </w:r>
      <w:r>
        <w:rPr>
          <w:b/>
          <w:bCs/>
        </w:rPr>
        <w:t xml:space="preserve">totalidad</w:t>
      </w:r>
      <w:r>
        <w:t xml:space="preserve"> </w:t>
      </w:r>
      <w:r>
        <w:t xml:space="preserve">de la operación de la empresa registrada, independientemente de si el laboratorio es propio o contratado 8.</w:t>
      </w:r>
    </w:p>
    <w:p>
      <w:pPr>
        <w:pStyle w:val="BodyText"/>
      </w:pPr>
      <w:r>
        <w:t xml:space="preserve">Esta exigencia de que el laboratorio</w:t>
      </w:r>
      <w:r>
        <w:t xml:space="preserve"> </w:t>
      </w:r>
      <w:r>
        <w:rPr>
          <w:b/>
          <w:bCs/>
        </w:rPr>
        <w:t xml:space="preserve">registrado en el ICA</w:t>
      </w:r>
      <w:r>
        <w:t xml:space="preserve"> </w:t>
      </w:r>
      <w:r>
        <w:t xml:space="preserve">provea los análisis anuales de control de calidad 9 y los certificados de análisis para el registro de producto (incluyendo laboratorios extranjeros) 10 busca unificar y elevar el estándar técnico de los resultados analíticos presentados a la entidad.</w:t>
      </w:r>
    </w:p>
    <w:bookmarkEnd w:id="11"/>
    <w:bookmarkStart w:id="12" w:name="inclusión-de-inocuidad-y-residuos"/>
    <w:p>
      <w:pPr>
        <w:pStyle w:val="Heading4"/>
      </w:pPr>
      <w:r>
        <w:t xml:space="preserve">3. Inclusión de Inocuidad y Residuos</w:t>
      </w:r>
    </w:p>
    <w:p>
      <w:pPr>
        <w:pStyle w:val="FirstParagraph"/>
      </w:pPr>
      <w:r>
        <w:t xml:space="preserve">La pv0 introduce prohibiciones claras que impactan directamente el sistema de calidad y la inocuidad:</w:t>
      </w:r>
    </w:p>
    <w:p>
      <w:pPr>
        <w:pStyle w:val="Compact"/>
        <w:numPr>
          <w:ilvl w:val="0"/>
          <w:numId w:val="1002"/>
        </w:numPr>
      </w:pPr>
      <w:r>
        <w:t xml:space="preserve">La</w:t>
      </w:r>
      <w:r>
        <w:t xml:space="preserve"> </w:t>
      </w:r>
      <w:r>
        <w:rPr>
          <w:b/>
          <w:bCs/>
        </w:rPr>
        <w:t xml:space="preserve">prohibición de destinar barreduras</w:t>
      </w:r>
      <w:r>
        <w:t xml:space="preserve"> </w:t>
      </w:r>
      <w:r>
        <w:t xml:space="preserve">para la elaboración de productos 19 requiere que las empresas implementen procedimientos documentados de manejo de residuos 8 y segregación estricta para asegurar que la materia prima no se contamine.</w:t>
      </w:r>
      <w:r>
        <w:br/>
      </w:r>
    </w:p>
    <w:p>
      <w:pPr>
        <w:pStyle w:val="Compact"/>
        <w:numPr>
          <w:ilvl w:val="0"/>
          <w:numId w:val="1002"/>
        </w:numPr>
      </w:pPr>
      <w:r>
        <w:t xml:space="preserve">Se exige que el procedimiento de formulación incluya la</w:t>
      </w:r>
      <w:r>
        <w:t xml:space="preserve"> </w:t>
      </w:r>
      <w:r>
        <w:rPr>
          <w:b/>
          <w:bCs/>
        </w:rPr>
        <w:t xml:space="preserve">disposición de residuos líquidos y barreduras</w:t>
      </w:r>
      <w:r>
        <w:t xml:space="preserve"> </w:t>
      </w:r>
      <w:r>
        <w:t xml:space="preserve">8, 18, lo que formaliza el aspecto de gestión ambiental y seguridad industrial dentro del control de calidad.</w:t>
      </w:r>
    </w:p>
    <w:p>
      <w:pPr>
        <w:pStyle w:val="FirstParagraph"/>
      </w:pPr>
      <w:r>
        <w:t xml:space="preserve">En resumen, la pv0 avanza de un modelo de cumplimiento basado en la presentación de documentos (contratos) hacia un</w:t>
      </w:r>
      <w:r>
        <w:t xml:space="preserve"> </w:t>
      </w:r>
      <w:r>
        <w:rPr>
          <w:b/>
          <w:bCs/>
        </w:rPr>
        <w:t xml:space="preserve">modelo basado en la verificación de la implementación de sistemas de gestión de calidad operacionales y documentados</w:t>
      </w:r>
      <w:r>
        <w:t xml:space="preserve">, lo que se evidencia en el minucioso detalle de los procedimientos listados en el Anexo I-B 14.</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2026-02-10T05:18:57Z</dcterms:created>
  <dcterms:modified xsi:type="dcterms:W3CDTF">2026-02-10T05:18:57Z</dcterms:modified>
</cp:coreProperties>
</file>

<file path=docProps/custom.xml><?xml version="1.0" encoding="utf-8"?>
<Properties xmlns="http://schemas.openxmlformats.org/officeDocument/2006/custom-properties" xmlns:vt="http://schemas.openxmlformats.org/officeDocument/2006/docPropsVTypes"/>
</file>