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3D3A4" w14:textId="77777777" w:rsidR="00931068" w:rsidRDefault="00000000">
      <w:pPr>
        <w:pStyle w:val="Ttulo1"/>
      </w:pPr>
      <w:bookmarkStart w:id="0" w:name="X663ef8a4b23a934d13172132c1dbe640d772d6a"/>
      <w:r>
        <w:t>PROCEDIMIENTO OPERATIVO ESTANDARIZADO: FORMULACIONES PARA TERCEROS (Toll Manufacturing)</w:t>
      </w:r>
    </w:p>
    <w:p w14:paraId="28BB2E0B" w14:textId="77777777" w:rsidR="00931068" w:rsidRDefault="00000000">
      <w:pPr>
        <w:pStyle w:val="FirstParagraph"/>
      </w:pPr>
      <w:r>
        <w:t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>CGC-POE-3.19</w:t>
      </w:r>
      <w:r>
        <w:t xml:space="preserve"> | </w:t>
      </w:r>
      <w:r>
        <w:rPr>
          <w:b/>
          <w:bCs/>
        </w:rPr>
        <w:t>01</w:t>
      </w:r>
      <w:r>
        <w:t xml:space="preserve"> | </w:t>
      </w:r>
      <w:r>
        <w:rPr>
          <w:b/>
          <w:bCs/>
        </w:rPr>
        <w:t>2026-02-17</w:t>
      </w:r>
      <w:r>
        <w:t xml:space="preserve"> | </w:t>
      </w:r>
      <w:r>
        <w:rPr>
          <w:b/>
          <w:bCs/>
        </w:rPr>
        <w:t>12 meses o ante cambio regulatorio</w:t>
      </w:r>
      <w:r>
        <w:t xml:space="preserve"> |</w:t>
      </w:r>
    </w:p>
    <w:p w14:paraId="2FE23264" w14:textId="77777777" w:rsidR="00931068" w:rsidRDefault="00000000">
      <w:r>
        <w:pict w14:anchorId="0F8AC991">
          <v:rect id="_x0000_i1025" style="width:0;height:1.5pt" o:hralign="center" o:hrstd="t" o:hr="t"/>
        </w:pict>
      </w:r>
    </w:p>
    <w:p w14:paraId="13B3EA5E" w14:textId="77777777" w:rsidR="00931068" w:rsidRDefault="00000000">
      <w:pPr>
        <w:pStyle w:val="Ttulo2"/>
      </w:pPr>
      <w:bookmarkStart w:id="1" w:name="objetivo"/>
      <w:r>
        <w:t>1. OBJETIVO</w:t>
      </w:r>
    </w:p>
    <w:p w14:paraId="7832C8EC" w14:textId="77777777" w:rsidR="00931068" w:rsidRDefault="00000000">
      <w:pPr>
        <w:pStyle w:val="FirstParagraph"/>
      </w:pPr>
      <w:r>
        <w:t xml:space="preserve">Establecer el flujo formal para la recepción, evaluación, aprobación y control de formulaciones fabricadas por </w:t>
      </w:r>
      <w:r>
        <w:rPr>
          <w:b/>
          <w:bCs/>
        </w:rPr>
        <w:t>CALFERQUIM S.A.S.</w:t>
      </w:r>
      <w:r>
        <w:t xml:space="preserve"> para terceros (tolling manufacturing), garantizando trazabilidad, confidencialidad y cumplimiento regulatorio.</w:t>
      </w:r>
    </w:p>
    <w:p w14:paraId="4F530F74" w14:textId="77777777" w:rsidR="00931068" w:rsidRDefault="00000000">
      <w:pPr>
        <w:pStyle w:val="Ttulo2"/>
      </w:pPr>
      <w:bookmarkStart w:id="2" w:name="alcance"/>
      <w:bookmarkEnd w:id="1"/>
      <w:r>
        <w:t>2. ALCANCE</w:t>
      </w:r>
    </w:p>
    <w:p w14:paraId="4084A996" w14:textId="77777777" w:rsidR="00931068" w:rsidRDefault="00000000">
      <w:pPr>
        <w:pStyle w:val="FirstParagraph"/>
      </w:pPr>
      <w:r>
        <w:t>Aplica a toda formulación (producto fertilizante o acondicionador) fabricada bajo especificaciones técnicas de un cliente diferente a CALFERQUIM, donde la titularidad del registro ICA puede ser del tercero o de CALFERQUIM.</w:t>
      </w:r>
    </w:p>
    <w:p w14:paraId="3C6AAE2B" w14:textId="77777777" w:rsidR="00931068" w:rsidRDefault="00000000">
      <w:pPr>
        <w:pStyle w:val="Ttulo2"/>
      </w:pPr>
      <w:bookmarkStart w:id="3" w:name="definiciones"/>
      <w:bookmarkEnd w:id="2"/>
      <w:r>
        <w:t>3. DEFINICIONES</w:t>
      </w:r>
    </w:p>
    <w:p w14:paraId="63A876D2" w14:textId="77777777" w:rsidR="009310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Tercero (Cliente Toll):</w:t>
      </w:r>
      <w:r>
        <w:t xml:space="preserve"> Persona natural o jurídica que solicita la fabricación de un producto bajo su marca o especificaciones.</w:t>
      </w:r>
    </w:p>
    <w:p w14:paraId="50E32FE7" w14:textId="77777777" w:rsidR="009310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Formulación Controlada:</w:t>
      </w:r>
      <w:r>
        <w:t xml:space="preserve"> Documento técnico oficial que detalla la composición, proceso productivo, controles de calidad y empaque.</w:t>
      </w:r>
    </w:p>
    <w:p w14:paraId="36B1940D" w14:textId="77777777" w:rsidR="009310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Viabilidad Regulatoria:</w:t>
      </w:r>
      <w:r>
        <w:t xml:space="preserve"> Evaluación técnica que determina si el producto puede ser fabricado legalmente (Registro ICA, restricciones de ingredientes).</w:t>
      </w:r>
    </w:p>
    <w:p w14:paraId="5589761C" w14:textId="77777777" w:rsidR="00931068" w:rsidRDefault="00000000">
      <w:pPr>
        <w:pStyle w:val="Ttulo2"/>
      </w:pPr>
      <w:bookmarkStart w:id="4" w:name="documentos-de-referencia"/>
      <w:bookmarkEnd w:id="3"/>
      <w:r>
        <w:t>4. DOCUMENTOS DE REFERENCIA</w:t>
      </w:r>
    </w:p>
    <w:p w14:paraId="158503A4" w14:textId="77777777" w:rsidR="009310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Resolución ICA pv0 (Propuesta):</w:t>
      </w:r>
      <w:r>
        <w:t xml:space="preserve"> Anexo I-B, Pilar 13 (Trazabilidad).</w:t>
      </w:r>
    </w:p>
    <w:p w14:paraId="2AE95A89" w14:textId="77777777" w:rsidR="0093106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Contrato Comercial Vigente con el Tercero.</w:t>
      </w:r>
    </w:p>
    <w:p w14:paraId="5542F6D6" w14:textId="77777777" w:rsidR="00931068" w:rsidRDefault="00000000">
      <w:pPr>
        <w:pStyle w:val="Ttulo2"/>
      </w:pPr>
      <w:bookmarkStart w:id="5" w:name="consideraciones-gmp"/>
      <w:bookmarkEnd w:id="4"/>
      <w:r>
        <w:lastRenderedPageBreak/>
        <w:t>4.1. CONSIDERACIONES GMP</w:t>
      </w:r>
    </w:p>
    <w:p w14:paraId="05044B02" w14:textId="77777777" w:rsidR="00931068" w:rsidRDefault="00000000">
      <w:pPr>
        <w:pStyle w:val="FirstParagraph"/>
      </w:pPr>
      <w:r>
        <w:rPr>
          <w:b/>
          <w:bCs/>
        </w:rPr>
        <w:t>SE PROHÍBE</w:t>
      </w:r>
      <w:r>
        <w:t xml:space="preserve"> fabricar cualquier lote para terceros sin la formulación aprobada y registrada formalmente por Dirección Técnica. La existencia de un contrato comercial </w:t>
      </w:r>
      <w:r>
        <w:rPr>
          <w:b/>
          <w:bCs/>
        </w:rPr>
        <w:t>no sustituye</w:t>
      </w:r>
      <w:r>
        <w:t xml:space="preserve"> la aprobación técnica. Todo cambio en la formulación, incluso si lo solicita el cliente, debe pasar por el control de cambios antes de implementarse.</w:t>
      </w:r>
    </w:p>
    <w:p w14:paraId="10BE4859" w14:textId="1C1643E0" w:rsidR="00931068" w:rsidRDefault="00000000">
      <w:pPr>
        <w:pStyle w:val="Ttulo2"/>
      </w:pPr>
      <w:bookmarkStart w:id="6" w:name="X89142c71e170216e29a3051bfe72221f0d57b2b"/>
      <w:bookmarkEnd w:id="5"/>
      <w:r>
        <w:t xml:space="preserve">5. RESPONSABILIDADES Y POLÍTICAS </w:t>
      </w:r>
    </w:p>
    <w:p w14:paraId="6EEA2FC8" w14:textId="77777777" w:rsidR="00931068" w:rsidRDefault="00000000">
      <w:pPr>
        <w:pStyle w:val="Ttulo3"/>
      </w:pPr>
      <w:bookmarkStart w:id="7" w:name="director-técnico"/>
      <w:r>
        <w:t>5.1. Director Técnico</w:t>
      </w:r>
    </w:p>
    <w:p w14:paraId="2938075D" w14:textId="77777777" w:rsidR="009310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Debe</w:t>
      </w:r>
      <w:r>
        <w:t xml:space="preserve"> evaluar la viabilidad regulatoria (Registro ICA del tercero, restricciones de metales pesados, composición NPK).</w:t>
      </w:r>
    </w:p>
    <w:p w14:paraId="657F506D" w14:textId="77777777" w:rsidR="009310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Es responsable</w:t>
      </w:r>
      <w:r>
        <w:t xml:space="preserve"> de aprobar o rechazar formalmente cada formulación.</w:t>
      </w:r>
    </w:p>
    <w:p w14:paraId="603D570A" w14:textId="77777777" w:rsidR="009310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Tiene la autoridad</w:t>
      </w:r>
      <w:r>
        <w:t xml:space="preserve"> para detener la fabricación si detecta desviaciones no autorizadas.</w:t>
      </w:r>
    </w:p>
    <w:p w14:paraId="2C40F4A0" w14:textId="77777777" w:rsidR="00931068" w:rsidRDefault="00000000">
      <w:pPr>
        <w:pStyle w:val="Ttulo3"/>
      </w:pPr>
      <w:bookmarkStart w:id="8" w:name="comercial-área-comercial"/>
      <w:bookmarkEnd w:id="7"/>
      <w:r>
        <w:t>5.2. Comercial / Área Comercial</w:t>
      </w:r>
    </w:p>
    <w:p w14:paraId="52F5575F" w14:textId="77777777" w:rsidR="009310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Debe</w:t>
      </w:r>
      <w:r>
        <w:t xml:space="preserve"> recibir y documentar la solicitud técnica del tercero.</w:t>
      </w:r>
    </w:p>
    <w:p w14:paraId="2925A8A9" w14:textId="77777777" w:rsidR="0093106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 puede</w:t>
      </w:r>
      <w:r>
        <w:t xml:space="preserve"> prometer tiempos de fabricación sin visto bueno de Producción.</w:t>
      </w:r>
    </w:p>
    <w:p w14:paraId="24C42A5F" w14:textId="77777777" w:rsidR="00931068" w:rsidRDefault="00000000">
      <w:pPr>
        <w:pStyle w:val="Ttulo3"/>
      </w:pPr>
      <w:bookmarkStart w:id="9" w:name="producción"/>
      <w:bookmarkEnd w:id="8"/>
      <w:r>
        <w:t>5.3. Producción</w:t>
      </w:r>
    </w:p>
    <w:p w14:paraId="149A4339" w14:textId="77777777" w:rsidR="009310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 prohíbe</w:t>
      </w:r>
      <w:r>
        <w:t xml:space="preserve"> iniciar fabricación sin tener en su poder la última versión de la formulación aprobada y firmada.</w:t>
      </w:r>
    </w:p>
    <w:p w14:paraId="7D11AAD5" w14:textId="77777777" w:rsidR="00931068" w:rsidRDefault="00000000">
      <w:pPr>
        <w:pStyle w:val="Ttulo3"/>
      </w:pPr>
      <w:bookmarkStart w:id="10" w:name="control-de-calidad"/>
      <w:bookmarkEnd w:id="9"/>
      <w:r>
        <w:t>5.4. Control de Calidad</w:t>
      </w:r>
    </w:p>
    <w:p w14:paraId="29D3B85F" w14:textId="77777777" w:rsidR="0093106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Debe</w:t>
      </w:r>
      <w:r>
        <w:t xml:space="preserve"> verificar que el producto cumpla las especificaciones acordadas antes de la liberación.</w:t>
      </w:r>
    </w:p>
    <w:p w14:paraId="3A54EC41" w14:textId="7C3D022D" w:rsidR="00931068" w:rsidRDefault="00000000">
      <w:pPr>
        <w:pStyle w:val="Ttulo2"/>
      </w:pPr>
      <w:bookmarkStart w:id="11" w:name="procedimiento-estilo-glm-4.7"/>
      <w:bookmarkEnd w:id="6"/>
      <w:bookmarkEnd w:id="10"/>
      <w:r>
        <w:t>6. PROCEDIMIENTO</w:t>
      </w:r>
    </w:p>
    <w:p w14:paraId="66F847FC" w14:textId="77777777" w:rsidR="00931068" w:rsidRDefault="00000000">
      <w:pPr>
        <w:pStyle w:val="Ttulo3"/>
      </w:pPr>
      <w:bookmarkStart w:id="12" w:name="recepción-de-solicitud"/>
      <w:r>
        <w:t>6.1. Recepción de Solicitud</w:t>
      </w:r>
    </w:p>
    <w:p w14:paraId="5DEE8E99" w14:textId="77777777" w:rsidR="009310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COMERCIAL:</w:t>
      </w:r>
      <w:r>
        <w:t xml:space="preserve"> </w:t>
      </w:r>
      <w:r>
        <w:rPr>
          <w:b/>
          <w:bCs/>
        </w:rPr>
        <w:t>Recibir</w:t>
      </w:r>
      <w:r>
        <w:t xml:space="preserve"> solicitud formal del tercero (Especificaciones técnicas, fórmula, empaque solicitado).</w:t>
      </w:r>
    </w:p>
    <w:p w14:paraId="23E16DAF" w14:textId="77777777" w:rsidR="009310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COMERCIAL:</w:t>
      </w:r>
      <w:r>
        <w:t xml:space="preserve"> </w:t>
      </w:r>
      <w:r>
        <w:rPr>
          <w:b/>
          <w:bCs/>
        </w:rPr>
        <w:t>Entregar</w:t>
      </w:r>
      <w:r>
        <w:t xml:space="preserve"> la documentación a Dirección Técnica para evaluación.</w:t>
      </w:r>
    </w:p>
    <w:p w14:paraId="1A398DD8" w14:textId="77777777" w:rsidR="00931068" w:rsidRDefault="00000000">
      <w:pPr>
        <w:pStyle w:val="Ttulo3"/>
      </w:pPr>
      <w:bookmarkStart w:id="13" w:name="evaluación-y-aprobación"/>
      <w:bookmarkEnd w:id="12"/>
      <w:r>
        <w:t>6.2. Evaluación y Aprobación</w:t>
      </w:r>
    </w:p>
    <w:p w14:paraId="2D0364F2" w14:textId="77777777" w:rsidR="0093106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DIRECCIÓN TÉCNICA:</w:t>
      </w:r>
      <w:r>
        <w:t xml:space="preserve"> </w:t>
      </w:r>
      <w:r>
        <w:rPr>
          <w:b/>
          <w:bCs/>
        </w:rPr>
        <w:t>Evaluar</w:t>
      </w:r>
      <w:r>
        <w:t xml:space="preserve"> viabilidad:</w:t>
      </w:r>
    </w:p>
    <w:p w14:paraId="76446AB5" w14:textId="77777777" w:rsidR="00931068" w:rsidRDefault="00000000">
      <w:pPr>
        <w:pStyle w:val="Compact"/>
        <w:numPr>
          <w:ilvl w:val="1"/>
          <w:numId w:val="10"/>
        </w:numPr>
      </w:pPr>
      <w:r>
        <w:t>¿El tercero tiene Registro ICA vigente (si comercializa bajo su nombre)?</w:t>
      </w:r>
    </w:p>
    <w:p w14:paraId="39BE96F1" w14:textId="77777777" w:rsidR="00931068" w:rsidRDefault="00000000">
      <w:pPr>
        <w:pStyle w:val="Compact"/>
        <w:numPr>
          <w:ilvl w:val="1"/>
          <w:numId w:val="10"/>
        </w:numPr>
      </w:pPr>
      <w:r>
        <w:t>¿La formulación cumple requisitos pv0 (metales pesados, NPK mínimo)?</w:t>
      </w:r>
    </w:p>
    <w:p w14:paraId="5FB178AF" w14:textId="77777777" w:rsidR="00931068" w:rsidRDefault="00000000">
      <w:pPr>
        <w:pStyle w:val="Compact"/>
        <w:numPr>
          <w:ilvl w:val="1"/>
          <w:numId w:val="10"/>
        </w:numPr>
      </w:pPr>
      <w:r>
        <w:t>¿Se cuenta con capacidad de producción y materia prima?</w:t>
      </w:r>
    </w:p>
    <w:p w14:paraId="366FC94F" w14:textId="77777777" w:rsidR="0093106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DIRECCIÓN TÉCNICA:</w:t>
      </w:r>
    </w:p>
    <w:p w14:paraId="798ABF93" w14:textId="77777777" w:rsidR="00931068" w:rsidRDefault="00000000">
      <w:pPr>
        <w:pStyle w:val="Compact"/>
        <w:numPr>
          <w:ilvl w:val="1"/>
          <w:numId w:val="11"/>
        </w:numPr>
      </w:pPr>
      <w:r>
        <w:rPr>
          <w:i/>
          <w:iCs/>
        </w:rPr>
        <w:lastRenderedPageBreak/>
        <w:t>SI APRUEBA:</w:t>
      </w:r>
      <w:r>
        <w:t xml:space="preserve"> </w:t>
      </w:r>
      <w:r>
        <w:rPr>
          <w:b/>
          <w:bCs/>
        </w:rPr>
        <w:t>Asignar</w:t>
      </w:r>
      <w:r>
        <w:t xml:space="preserve"> código interno (ej: FT-2026-001) y crear documento de Formulación Controlada. Firmar aprobación.</w:t>
      </w:r>
    </w:p>
    <w:p w14:paraId="5AE46F79" w14:textId="77777777" w:rsidR="00931068" w:rsidRDefault="00000000">
      <w:pPr>
        <w:pStyle w:val="Compact"/>
        <w:numPr>
          <w:ilvl w:val="1"/>
          <w:numId w:val="11"/>
        </w:numPr>
      </w:pPr>
      <w:r>
        <w:rPr>
          <w:i/>
          <w:iCs/>
        </w:rPr>
        <w:t>SI RECHAZA:</w:t>
      </w:r>
      <w:r>
        <w:t xml:space="preserve"> </w:t>
      </w:r>
      <w:r>
        <w:rPr>
          <w:b/>
          <w:bCs/>
        </w:rPr>
        <w:t>Notificar</w:t>
      </w:r>
      <w:r>
        <w:t xml:space="preserve"> a Comercial con justificación técnica.</w:t>
      </w:r>
    </w:p>
    <w:p w14:paraId="08956594" w14:textId="77777777" w:rsidR="00931068" w:rsidRDefault="00000000">
      <w:pPr>
        <w:pStyle w:val="Ttulo3"/>
      </w:pPr>
      <w:bookmarkStart w:id="14" w:name="control-de-versiones"/>
      <w:bookmarkEnd w:id="13"/>
      <w:r>
        <w:t>6.3. Control de Versiones</w:t>
      </w:r>
    </w:p>
    <w:p w14:paraId="66669277" w14:textId="77777777" w:rsidR="009310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DIRECCIÓN TÉCNICA:</w:t>
      </w:r>
      <w:r>
        <w:t xml:space="preserve"> </w:t>
      </w:r>
      <w:r>
        <w:rPr>
          <w:b/>
          <w:bCs/>
        </w:rPr>
        <w:t>Registrar</w:t>
      </w:r>
      <w:r>
        <w:t xml:space="preserve"> la nueva formulación en </w:t>
      </w:r>
      <w:r>
        <w:rPr>
          <w:rStyle w:val="VerbatimChar"/>
        </w:rPr>
        <w:t>Registro_Control_Cambios_Formulacion_Tercero_V1.csv</w:t>
      </w:r>
      <w:r>
        <w:t>.</w:t>
      </w:r>
    </w:p>
    <w:p w14:paraId="080DC5D0" w14:textId="77777777" w:rsidR="009310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PRODUCCIÓN:</w:t>
      </w:r>
      <w:r>
        <w:t xml:space="preserve"> </w:t>
      </w:r>
      <w:r>
        <w:rPr>
          <w:b/>
          <w:bCs/>
        </w:rPr>
        <w:t>Archivar</w:t>
      </w:r>
      <w:r>
        <w:t xml:space="preserve"> copia de la formulación vigente en carpeta de producción.</w:t>
      </w:r>
    </w:p>
    <w:p w14:paraId="136A633B" w14:textId="77777777" w:rsidR="00931068" w:rsidRDefault="00000000">
      <w:pPr>
        <w:pStyle w:val="Ttulo3"/>
      </w:pPr>
      <w:bookmarkStart w:id="15" w:name="fabricación-y-trazabilidad"/>
      <w:bookmarkEnd w:id="14"/>
      <w:r>
        <w:t>6.4. Fabricación y Trazabilidad</w:t>
      </w:r>
    </w:p>
    <w:p w14:paraId="736D776B" w14:textId="77777777" w:rsidR="0093106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PRODUCCIÓN:</w:t>
      </w:r>
      <w:r>
        <w:t xml:space="preserve"> </w:t>
      </w:r>
      <w:r>
        <w:rPr>
          <w:b/>
          <w:bCs/>
        </w:rPr>
        <w:t>Fabricar</w:t>
      </w:r>
      <w:r>
        <w:t xml:space="preserve"> el lote siguiendo la formulación vigente.</w:t>
      </w:r>
    </w:p>
    <w:p w14:paraId="498B2B6C" w14:textId="77777777" w:rsidR="0093106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CALIDAD:</w:t>
      </w:r>
      <w:r>
        <w:t xml:space="preserve"> </w:t>
      </w:r>
      <w:r>
        <w:rPr>
          <w:b/>
          <w:bCs/>
        </w:rPr>
        <w:t>Verificar</w:t>
      </w:r>
      <w:r>
        <w:t xml:space="preserve"> cumplimiento de especificaciones y registrar resultados.</w:t>
      </w:r>
    </w:p>
    <w:p w14:paraId="7B0DA945" w14:textId="77777777" w:rsidR="0093106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CALIDAD:</w:t>
      </w:r>
      <w:r>
        <w:t xml:space="preserve"> </w:t>
      </w:r>
      <w:r>
        <w:rPr>
          <w:b/>
          <w:bCs/>
        </w:rPr>
        <w:t>Liberar</w:t>
      </w:r>
      <w:r>
        <w:t xml:space="preserve"> o rechazar el lote (POE 3.12).</w:t>
      </w:r>
    </w:p>
    <w:p w14:paraId="5623B081" w14:textId="77777777" w:rsidR="0093106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COMERCIAL:</w:t>
      </w:r>
      <w:r>
        <w:t xml:space="preserve"> </w:t>
      </w:r>
      <w:r>
        <w:rPr>
          <w:b/>
          <w:bCs/>
        </w:rPr>
        <w:t>Coordinar</w:t>
      </w:r>
      <w:r>
        <w:t xml:space="preserve"> entrega al tercero con información de trazabilidad (Lote, Cantidad, Fecha).</w:t>
      </w:r>
    </w:p>
    <w:p w14:paraId="32372932" w14:textId="77777777" w:rsidR="00931068" w:rsidRDefault="00000000">
      <w:pPr>
        <w:pStyle w:val="Ttulo2"/>
      </w:pPr>
      <w:bookmarkStart w:id="16" w:name="criterios-de-control"/>
      <w:bookmarkEnd w:id="11"/>
      <w:bookmarkEnd w:id="15"/>
      <w:r>
        <w:t>7. CRITERIOS DE CONTROL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931068" w14:paraId="6D555180" w14:textId="77777777" w:rsidTr="00931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9341EF6" w14:textId="77777777" w:rsidR="00931068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2F9474E5" w14:textId="77777777" w:rsidR="00931068" w:rsidRDefault="00000000">
            <w:pPr>
              <w:pStyle w:val="Compact"/>
            </w:pPr>
            <w:r>
              <w:t>Requisito</w:t>
            </w:r>
          </w:p>
        </w:tc>
      </w:tr>
      <w:tr w:rsidR="00931068" w14:paraId="0F073D66" w14:textId="77777777">
        <w:tc>
          <w:tcPr>
            <w:tcW w:w="3960" w:type="dxa"/>
          </w:tcPr>
          <w:p w14:paraId="7D24934F" w14:textId="77777777" w:rsidR="00931068" w:rsidRDefault="00000000">
            <w:pPr>
              <w:pStyle w:val="Compact"/>
            </w:pPr>
            <w:r>
              <w:t>Aprobación Técnica</w:t>
            </w:r>
          </w:p>
        </w:tc>
        <w:tc>
          <w:tcPr>
            <w:tcW w:w="3960" w:type="dxa"/>
          </w:tcPr>
          <w:p w14:paraId="7F34289E" w14:textId="77777777" w:rsidR="00931068" w:rsidRDefault="00000000">
            <w:pPr>
              <w:pStyle w:val="Compact"/>
            </w:pPr>
            <w:r>
              <w:t>Obligatoria antes de fabricar.</w:t>
            </w:r>
          </w:p>
        </w:tc>
      </w:tr>
      <w:tr w:rsidR="00931068" w14:paraId="6E669695" w14:textId="77777777">
        <w:tc>
          <w:tcPr>
            <w:tcW w:w="3960" w:type="dxa"/>
          </w:tcPr>
          <w:p w14:paraId="23CB193F" w14:textId="77777777" w:rsidR="00931068" w:rsidRDefault="00000000">
            <w:pPr>
              <w:pStyle w:val="Compact"/>
            </w:pPr>
            <w:r>
              <w:t>Registro ICA del Tercero</w:t>
            </w:r>
          </w:p>
        </w:tc>
        <w:tc>
          <w:tcPr>
            <w:tcW w:w="3960" w:type="dxa"/>
          </w:tcPr>
          <w:p w14:paraId="4194394A" w14:textId="77777777" w:rsidR="00931068" w:rsidRDefault="00000000">
            <w:pPr>
              <w:pStyle w:val="Compact"/>
            </w:pPr>
            <w:r>
              <w:t>Vigente si el producto se vende bajo nombre del tercero.</w:t>
            </w:r>
          </w:p>
        </w:tc>
      </w:tr>
      <w:tr w:rsidR="00931068" w14:paraId="58EAB754" w14:textId="77777777">
        <w:tc>
          <w:tcPr>
            <w:tcW w:w="3960" w:type="dxa"/>
          </w:tcPr>
          <w:p w14:paraId="70ABD600" w14:textId="77777777" w:rsidR="00931068" w:rsidRDefault="00000000">
            <w:pPr>
              <w:pStyle w:val="Compact"/>
            </w:pPr>
            <w:r>
              <w:t>Control de Cambios</w:t>
            </w:r>
          </w:p>
        </w:tc>
        <w:tc>
          <w:tcPr>
            <w:tcW w:w="3960" w:type="dxa"/>
          </w:tcPr>
          <w:p w14:paraId="0B3DB238" w14:textId="77777777" w:rsidR="00931068" w:rsidRDefault="00000000">
            <w:pPr>
              <w:pStyle w:val="Compact"/>
            </w:pPr>
            <w:r>
              <w:t>Todo cambio de fórmula requiere nueva aprobación.</w:t>
            </w:r>
          </w:p>
        </w:tc>
      </w:tr>
      <w:tr w:rsidR="00931068" w14:paraId="44893850" w14:textId="77777777">
        <w:tc>
          <w:tcPr>
            <w:tcW w:w="3960" w:type="dxa"/>
          </w:tcPr>
          <w:p w14:paraId="3F87F911" w14:textId="77777777" w:rsidR="00931068" w:rsidRDefault="00000000">
            <w:pPr>
              <w:pStyle w:val="Compact"/>
            </w:pPr>
            <w:r>
              <w:t>Trazabilidad</w:t>
            </w:r>
          </w:p>
        </w:tc>
        <w:tc>
          <w:tcPr>
            <w:tcW w:w="3960" w:type="dxa"/>
          </w:tcPr>
          <w:p w14:paraId="5E6ADC10" w14:textId="77777777" w:rsidR="00931068" w:rsidRDefault="00000000">
            <w:pPr>
              <w:pStyle w:val="Compact"/>
            </w:pPr>
            <w:r>
              <w:t>Cada lote debe poder relacionarse con cliente, fórmula versionada y resultados.</w:t>
            </w:r>
          </w:p>
        </w:tc>
      </w:tr>
    </w:tbl>
    <w:p w14:paraId="5F42417B" w14:textId="77777777" w:rsidR="00931068" w:rsidRDefault="00000000">
      <w:pPr>
        <w:pStyle w:val="Ttulo2"/>
      </w:pPr>
      <w:bookmarkStart w:id="17" w:name="registros-asociados"/>
      <w:bookmarkEnd w:id="16"/>
      <w:r>
        <w:t>8. REGISTROS ASOCIADOS</w:t>
      </w:r>
    </w:p>
    <w:p w14:paraId="0BD70585" w14:textId="77777777" w:rsidR="00931068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Formato_Solicitud_Formulacion_Tercero_V1.csv</w:t>
      </w:r>
    </w:p>
    <w:p w14:paraId="52FB8021" w14:textId="77777777" w:rsidR="00931068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Registro_Control_Cambios_Formulacion_Tercero_V1.csv</w:t>
      </w:r>
    </w:p>
    <w:p w14:paraId="156F5067" w14:textId="77777777" w:rsidR="00931068" w:rsidRDefault="00000000">
      <w:pPr>
        <w:pStyle w:val="Ttulo2"/>
      </w:pPr>
      <w:bookmarkStart w:id="18" w:name="anexos"/>
      <w:bookmarkEnd w:id="17"/>
      <w:r>
        <w:t>9. ANEXOS</w:t>
      </w:r>
    </w:p>
    <w:p w14:paraId="6A6C2DCC" w14:textId="77777777" w:rsidR="0093106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Anexo 1:</w:t>
      </w:r>
      <w:r>
        <w:t xml:space="preserve"> Flujo de Aprobación de Formulaciones.</w:t>
      </w:r>
    </w:p>
    <w:p w14:paraId="5325D5A8" w14:textId="77777777" w:rsidR="00931068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Anexo 2:</w:t>
      </w:r>
      <w:r>
        <w:t xml:space="preserve"> Modelo de Contrato de Confidencialidad ( NDA).</w:t>
      </w:r>
    </w:p>
    <w:p w14:paraId="6D82731B" w14:textId="77777777" w:rsidR="00931068" w:rsidRDefault="00000000">
      <w:pPr>
        <w:pStyle w:val="Ttulo2"/>
      </w:pPr>
      <w:bookmarkStart w:id="19" w:name="control-de-cambios"/>
      <w:bookmarkEnd w:id="18"/>
      <w:r>
        <w:t>10. CONTROL DE CAMBIOS</w:t>
      </w:r>
    </w:p>
    <w:p w14:paraId="4086D449" w14:textId="77777777" w:rsidR="00931068" w:rsidRDefault="00000000">
      <w:pPr>
        <w:pStyle w:val="FirstParagraph"/>
      </w:pPr>
      <w:r>
        <w:t>Versión | Fecha | Descripción |</w:t>
      </w:r>
      <w:r>
        <w:br/>
      </w:r>
      <w:bookmarkEnd w:id="0"/>
      <w:bookmarkEnd w:id="19"/>
    </w:p>
    <w:sectPr w:rsidR="0093106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7981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CCDC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54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975A019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24D2085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7"/>
    <w:multiLevelType w:val="multilevel"/>
    <w:tmpl w:val="A45E53B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 w16cid:durableId="1557161810">
    <w:abstractNumId w:val="0"/>
  </w:num>
  <w:num w:numId="2" w16cid:durableId="539779688">
    <w:abstractNumId w:val="1"/>
  </w:num>
  <w:num w:numId="3" w16cid:durableId="440035887">
    <w:abstractNumId w:val="1"/>
  </w:num>
  <w:num w:numId="4" w16cid:durableId="385682204">
    <w:abstractNumId w:val="1"/>
  </w:num>
  <w:num w:numId="5" w16cid:durableId="435103637">
    <w:abstractNumId w:val="1"/>
  </w:num>
  <w:num w:numId="6" w16cid:durableId="1188374362">
    <w:abstractNumId w:val="1"/>
  </w:num>
  <w:num w:numId="7" w16cid:durableId="969018286">
    <w:abstractNumId w:val="1"/>
  </w:num>
  <w:num w:numId="8" w16cid:durableId="1204632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079537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" w16cid:durableId="671179548">
    <w:abstractNumId w:val="1"/>
  </w:num>
  <w:num w:numId="11" w16cid:durableId="701052189">
    <w:abstractNumId w:val="1"/>
  </w:num>
  <w:num w:numId="12" w16cid:durableId="141238989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1120800552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4" w16cid:durableId="2128811458">
    <w:abstractNumId w:val="1"/>
  </w:num>
  <w:num w:numId="15" w16cid:durableId="117788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1068"/>
    <w:rsid w:val="00911C02"/>
    <w:rsid w:val="00931068"/>
    <w:rsid w:val="0096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B166C"/>
  <w15:docId w15:val="{38E31ADA-7B37-4783-9ACE-70F002BAE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645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DIRECCION TECNICA</cp:lastModifiedBy>
  <cp:revision>2</cp:revision>
  <dcterms:created xsi:type="dcterms:W3CDTF">2026-02-18T10:33:00Z</dcterms:created>
  <dcterms:modified xsi:type="dcterms:W3CDTF">2026-02-18T14:46:00Z</dcterms:modified>
</cp:coreProperties>
</file>