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1860"/>
        <w:gridCol w:w="1275"/>
        <w:gridCol w:w="840"/>
        <w:gridCol w:w="1575"/>
        <w:gridCol w:w="1575"/>
        <w:tblGridChange w:id="0">
          <w:tblGrid>
            <w:gridCol w:w="3435"/>
            <w:gridCol w:w="1860"/>
            <w:gridCol w:w="1275"/>
            <w:gridCol w:w="840"/>
            <w:gridCol w:w="1575"/>
            <w:gridCol w:w="1575"/>
          </w:tblGrid>
        </w:tblGridChange>
      </w:tblGrid>
      <w:tr>
        <w:trPr>
          <w:cantSplit w:val="0"/>
          <w:trHeight w:val="558.544921875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30"/>
                <w:szCs w:val="30"/>
                <w:rtl w:val="0"/>
              </w:rPr>
              <w:t xml:space="preserve">CERTIFICADO DE LIBERACIÓN DEL LOTE AL MERCADO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PRODUCTO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NUCLEO MAGNESIO SILICIO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558-180326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APARIENCIA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GRANULADO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GRIS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FECHA FABRICACIÓN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18/03/2026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ORDEN DE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BALANCE DE MATERIAS PRIMAS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RESULTADO FISICOQUÍMICO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CONTRAMUESTRA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EMPAQUE Y MARCADO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26"/>
                <w:szCs w:val="2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EL PRODUCTO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[CODIGO PRODUCTO - NOMBRE PRODUCTO]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 FABRICADO EL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 DD/MM/AAAA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, DE ACUERDO A LA ORDE DE PRODUCCIÓN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 [ORDEN PRODUCCION] 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SE APRUEBA PARA SER LIBERADO AL MERCADO EL DIA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DD/MM/AAAA</w:t>
            </w: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.64843750000006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1812563" cy="89363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563" cy="893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jc w:val="both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WILSON RAFAEL SALAS CHAVEZ</w:t>
              <w:br w:type="textWrapping"/>
              <w:t xml:space="preserve">DIRECTOR 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-52387</wp:posOffset>
              </wp:positionV>
              <wp:extent cx="6838950" cy="986313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711750" y="480300"/>
                        <a:ext cx="4758900" cy="63705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-52387</wp:posOffset>
              </wp:positionV>
              <wp:extent cx="6838950" cy="986313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8950" cy="98631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5124450</wp:posOffset>
          </wp:positionH>
          <wp:positionV relativeFrom="paragraph">
            <wp:posOffset>-47624</wp:posOffset>
          </wp:positionV>
          <wp:extent cx="1435462" cy="887576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5462" cy="88757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804713" cy="90982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04713" cy="9098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