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k2k"/>
    <w:p>
      <w:pPr>
        <w:pStyle w:val="Heading1"/>
      </w:pPr>
      <w:r>
        <w:t xml:space="preserve">Ficha de Produccion - K2K</w:t>
      </w:r>
    </w:p>
    <w:p>
      <w:pPr>
        <w:pStyle w:val="Compact"/>
        <w:numPr>
          <w:ilvl w:val="0"/>
          <w:numId w:val="1001"/>
        </w:numPr>
      </w:pPr>
      <w:r>
        <w:t xml:space="preserve">Items: 300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2025-08-20 a 2025-08-20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20.820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37,40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10.410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1.724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15,0 (min 15,0 / max 15,0)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22,0 (min 22,0 / max 22,0)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18,0 (min 18,0 / max 18,0)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100,0% con novedad. Tiempo con novedad 34,95 min/ton vs sin novedad N/D min/ton. Notas frecuentes: Se inició producción alas 8.40 am por limpieza de tubo secador alas 9.25 se apagó el canon asta las 10.30 am (1); Sin registro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Pablo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2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2026-03-17T03:31:43Z</dcterms:created>
  <dcterms:modified xsi:type="dcterms:W3CDTF">2026-03-17T03:31:43Z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