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media/hdphoto1.wdp" ContentType="image/vnd.ms-photo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7"/>
        </w:rPr>
      </w:pPr>
      <w:r>
        <w:rPr>
          <w:sz w:val="7"/>
        </w:rPr>
      </w:r>
    </w:p>
    <w:tbl>
      <w:tblPr>
        <w:tblStyle w:val="TableNormal"/>
        <w:tblW w:w="9526" w:type="dxa"/>
        <w:jc w:val="start"/>
        <w:tblInd w:w="12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noHBand="0" w:noVBand="0" w:firstColumn="1" w:lastRow="1" w:lastColumn="1" w:firstRow="1"/>
      </w:tblPr>
      <w:tblGrid>
        <w:gridCol w:w="27"/>
        <w:gridCol w:w="3046"/>
        <w:gridCol w:w="796"/>
        <w:gridCol w:w="5644"/>
        <w:gridCol w:w="13"/>
      </w:tblGrid>
      <w:tr>
        <w:trPr>
          <w:trHeight w:val="272" w:hRule="atLeast"/>
        </w:trPr>
        <w:tc>
          <w:tcPr>
            <w:tcW w:w="9526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1. IDENTIFICACIÓN</w:t>
            </w:r>
            <w:r>
              <w:rPr>
                <w:b/>
                <w:color w:val="FFFFFF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DEL</w:t>
            </w:r>
            <w:r>
              <w:rPr>
                <w:b/>
                <w:color w:val="FFFFFF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PRODUCTO</w:t>
            </w:r>
            <w:r>
              <w:rPr>
                <w:b/>
                <w:color w:val="FFFFFF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b/>
                <w:color w:val="FFFFFF"/>
                <w:spacing w:val="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LA EMPRESA</w:t>
            </w:r>
          </w:p>
        </w:tc>
      </w:tr>
      <w:tr>
        <w:trPr>
          <w:trHeight w:val="414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Nombre del Producto: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PRODUCCION 17</w:t>
            </w:r>
          </w:p>
        </w:tc>
      </w:tr>
      <w:tr>
        <w:trPr>
          <w:trHeight w:val="267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Otro Medio de Identificación: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PRODUCCION 17</w:t>
            </w:r>
          </w:p>
        </w:tc>
      </w:tr>
      <w:tr>
        <w:trPr>
          <w:trHeight w:val="532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Tipo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4"/>
                <w:kern w:val="0"/>
                <w:sz w:val="22"/>
                <w:szCs w:val="22"/>
                <w:lang w:eastAsia="en-US" w:bidi="ar-SA"/>
              </w:rPr>
              <w:t xml:space="preserve"> P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roducto: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Fertilizante Inorgánico Compuesto Mezclado NPK,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para aplicación al suelo en cultivos agrícolas.</w:t>
            </w:r>
          </w:p>
        </w:tc>
      </w:tr>
      <w:tr>
        <w:trPr>
          <w:trHeight w:val="323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Tipo de Formulación: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Mezcla física de Gránulos.</w:t>
            </w:r>
          </w:p>
        </w:tc>
      </w:tr>
      <w:tr>
        <w:trPr>
          <w:trHeight w:val="407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Presentación: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Saco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polipropileno de 10, 20, 25, 50, 700 Y 1.000 kilogramos.</w:t>
            </w:r>
          </w:p>
        </w:tc>
      </w:tr>
      <w:tr>
        <w:trPr>
          <w:trHeight w:val="272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Número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UN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requiere</w:t>
            </w:r>
          </w:p>
        </w:tc>
      </w:tr>
      <w:tr>
        <w:trPr>
          <w:trHeight w:val="268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Clase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UN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N/A</w:t>
            </w:r>
          </w:p>
        </w:tc>
      </w:tr>
      <w:tr>
        <w:trPr>
          <w:trHeight w:val="268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Nombre</w:t>
            </w:r>
            <w:r>
              <w:rPr>
                <w:b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empresa: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Cales y Fertilizantes Químicos S.A.S - </w:t>
            </w: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CALFERQUIM S.A.S</w:t>
            </w:r>
          </w:p>
        </w:tc>
      </w:tr>
      <w:tr>
        <w:trPr>
          <w:trHeight w:val="272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Dirección: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Calle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8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#3-14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Oficina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803 Edificio Cámara de Comercio de Cali</w:t>
            </w:r>
          </w:p>
        </w:tc>
      </w:tr>
      <w:tr>
        <w:trPr>
          <w:trHeight w:val="267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Teléfono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>s: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(57) (2) 881 64 25 - Celular:322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277</w:t>
            </w:r>
            <w:r>
              <w:rPr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3866</w:t>
            </w:r>
          </w:p>
        </w:tc>
      </w:tr>
      <w:tr>
        <w:trPr>
          <w:trHeight w:val="272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Correo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Electrónico: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hyperlink r:id="rId2">
              <w:r>
                <w:rPr>
                  <w:rStyle w:val="Style9"/>
                  <w:color w:val="0461C1"/>
                  <w:kern w:val="0"/>
                  <w:sz w:val="22"/>
                  <w:szCs w:val="22"/>
                  <w:u w:val="single" w:color="0461C1"/>
                  <w:lang w:eastAsia="en-US" w:bidi="ar-SA"/>
                </w:rPr>
                <w:t>gorejula@calferquim.com</w:t>
              </w:r>
            </w:hyperlink>
          </w:p>
        </w:tc>
      </w:tr>
      <w:tr>
        <w:trPr>
          <w:trHeight w:val="267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Ciudad: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Cali – Valle del Cauca</w:t>
            </w:r>
          </w:p>
        </w:tc>
      </w:tr>
      <w:tr>
        <w:trPr>
          <w:trHeight w:val="272" w:hRule="atLeast"/>
        </w:trPr>
        <w:tc>
          <w:tcPr>
            <w:tcW w:w="386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País:</w:t>
            </w:r>
          </w:p>
        </w:tc>
        <w:tc>
          <w:tcPr>
            <w:tcW w:w="565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Colombia</w:t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2.</w:t>
            </w:r>
            <w:r>
              <w:rPr>
                <w:b/>
                <w:color w:val="FFFFFF"/>
                <w:spacing w:val="-3"/>
                <w:kern w:val="0"/>
                <w:sz w:val="22"/>
                <w:szCs w:val="22"/>
                <w:lang w:eastAsia="en-US" w:bidi="ar-SA"/>
              </w:rPr>
              <w:t xml:space="preserve"> IDENTIFICACIÓN DE LOS PELIGROS</w:t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2.1 Clasificación de la Sustancia o de la Mezcla según Sistema Globalmente Armonizado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kern w:val="0"/>
                <w:sz w:val="22"/>
                <w:szCs w:val="22"/>
                <w:lang w:eastAsia="en-US" w:bidi="ar-SA"/>
              </w:rPr>
              <w:t>H303 (Categoría 5):</w:t>
            </w:r>
            <w:r>
              <w:rPr>
                <w:rFonts w:cs="Calibri" w:cstheme="minorHAnsi"/>
                <w:color w:val="202124"/>
                <w:kern w:val="0"/>
                <w:sz w:val="22"/>
                <w:szCs w:val="22"/>
                <w:shd w:fill="FFFFFF" w:val="clear"/>
                <w:lang w:eastAsia="en-US" w:bidi="ar-SA"/>
              </w:rPr>
              <w:t xml:space="preserve"> Toxicidad aguda en caso de ingestión.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</w:rPr>
            </w:pPr>
            <w:r>
              <w:rPr>
                <w:rFonts w:cs="Calibri" w:cstheme="minorHAnsi"/>
                <w:b/>
                <w:kern w:val="0"/>
                <w:sz w:val="22"/>
                <w:szCs w:val="22"/>
                <w:lang w:eastAsia="en-US" w:bidi="ar-SA"/>
              </w:rPr>
              <w:t>H319 (Categoría 2):</w:t>
            </w:r>
            <w:r>
              <w:rPr>
                <w:rFonts w:cs="Calibri" w:cstheme="minorHAnsi"/>
                <w:bCs/>
                <w:kern w:val="0"/>
                <w:sz w:val="22"/>
                <w:szCs w:val="22"/>
                <w:lang w:eastAsia="en-US" w:bidi="ar-SA"/>
              </w:rPr>
              <w:t xml:space="preserve"> Irritación ocular grave.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kern w:val="0"/>
                <w:sz w:val="22"/>
                <w:szCs w:val="22"/>
                <w:lang w:eastAsia="en-US" w:bidi="ar-SA"/>
              </w:rPr>
              <w:t>H401 (Categoría agudo 2):</w:t>
            </w:r>
            <w:r>
              <w:rPr>
                <w:rFonts w:cs="Calibri" w:cstheme="minorHAnsi"/>
                <w:bCs/>
                <w:kern w:val="0"/>
                <w:sz w:val="22"/>
                <w:szCs w:val="22"/>
                <w:lang w:eastAsia="en-US" w:bidi="ar-SA"/>
              </w:rPr>
              <w:t xml:space="preserve"> Tóxico para los organismos acuáticos.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2.2 Elementos de la Etiqueta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Pictograma: 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Sin Pictograma.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Palabra de Advertencia: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ATENCIÓN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Declaraciones de Peligro: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H303: 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Puede ser nocivo en caso de ingestión.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H320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: Provoca irritación ocular.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H402: 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Nocivo para los organismos acuáticos.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Consejos de Prudencia: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Prevención: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P102: 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Mantener fuera del alcance de los niños.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P264: 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Lavarse las manos cuidadosamente después de la manipulación.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P273: 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No dispersar en el medio ambiente.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P280: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 Usar guantes, ropa de protección y equipo de protección para los ojos.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P312: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 Llamar a un CENTRO MEDICO TOXICOLOGIA/ medico si la persona se encuentra mal.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Intervención: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P305 + P351 + P338: EN CASO DE CONTACTO CON LOS OJOS: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 enjuagar con abundante agua cuidadosamente durante varios minutos. Quitar los lentes de contacto si lleva y resulta fácil. Continuar con el lavado.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P337+P313: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 Si la irritación ocular persiste, acudir a un médico.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Almacenamiento: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P235 + P410: 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Conservar en lugar fresco. Proteger de los rayos solares.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P402:</w:t>
            </w: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 Almacenar en lugar seco.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2.3 Otros Peligros: </w:t>
            </w:r>
            <w:r>
              <w:rPr>
                <w:rFonts w:cs="Calibri" w:cstheme="minorHAnsi"/>
                <w:kern w:val="0"/>
                <w:sz w:val="22"/>
                <w:szCs w:val="22"/>
                <w:lang w:eastAsia="en-US" w:bidi="ar-SA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5" w:hRule="atLeast"/>
        </w:trPr>
        <w:tc>
          <w:tcPr>
            <w:tcW w:w="951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3.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COMPOSICIÓN/INFORMACIÓN SOBRRE LOS INGREDIENTES</w:t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kern w:val="0"/>
                <w:sz w:val="2"/>
                <w:szCs w:val="22"/>
                <w:lang w:eastAsia="en-US" w:bidi="ar-SA"/>
              </w:rPr>
            </w:r>
          </w:p>
        </w:tc>
      </w:tr>
      <w:tr>
        <w:trPr>
          <w:trHeight w:val="185" w:hRule="atLeast"/>
        </w:trPr>
        <w:tc>
          <w:tcPr>
            <w:tcW w:w="951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3.1. Nombre Comercial:  PRODUCCION 17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3.2. Sustancia:</w:t>
            </w:r>
            <w:r>
              <w:rPr>
                <w:bCs/>
                <w:kern w:val="0"/>
                <w:sz w:val="22"/>
                <w:szCs w:val="22"/>
                <w:lang w:eastAsia="en-US" w:bidi="ar-SA"/>
              </w:rPr>
              <w:t xml:space="preserve"> No aplica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3.3 Fórmulas: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Cs/>
              </w:rPr>
            </w:pPr>
            <w:r>
              <w:rPr>
                <w:bCs/>
                <w:kern w:val="0"/>
                <w:sz w:val="22"/>
                <w:szCs w:val="22"/>
                <w:lang w:eastAsia="en-US" w:bidi="ar-SA"/>
              </w:rPr>
              <w:t xml:space="preserve">Urea: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CH</w:t>
            </w:r>
            <w:r>
              <w:rPr>
                <w:b/>
                <w:kern w:val="0"/>
                <w:sz w:val="22"/>
                <w:szCs w:val="22"/>
                <w:vertAlign w:val="subscript"/>
                <w:lang w:eastAsia="en-US" w:bidi="ar-SA"/>
              </w:rPr>
              <w:t>4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N</w:t>
            </w:r>
            <w:r>
              <w:rPr>
                <w:b/>
                <w:kern w:val="0"/>
                <w:sz w:val="22"/>
                <w:szCs w:val="22"/>
                <w:vertAlign w:val="subscript"/>
                <w:lang w:eastAsia="en-US" w:bidi="ar-SA"/>
              </w:rPr>
              <w:t>2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vertAlign w:val="subscript"/>
              </w:rPr>
            </w:pPr>
            <w:r>
              <w:rPr>
                <w:bCs/>
                <w:kern w:val="0"/>
                <w:sz w:val="22"/>
                <w:szCs w:val="22"/>
                <w:lang w:eastAsia="en-US" w:bidi="ar-SA"/>
              </w:rPr>
              <w:t xml:space="preserve">Fosfato Di amónico: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(NH</w:t>
            </w:r>
            <w:r>
              <w:rPr>
                <w:b/>
                <w:kern w:val="0"/>
                <w:sz w:val="22"/>
                <w:szCs w:val="22"/>
                <w:vertAlign w:val="subscript"/>
                <w:lang w:eastAsia="en-US" w:bidi="ar-SA"/>
              </w:rPr>
              <w:t>4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)</w:t>
            </w:r>
            <w:r>
              <w:rPr>
                <w:b/>
                <w:kern w:val="0"/>
                <w:sz w:val="22"/>
                <w:szCs w:val="22"/>
                <w:vertAlign w:val="subscript"/>
                <w:lang w:eastAsia="en-US" w:bidi="ar-SA"/>
              </w:rPr>
              <w:t xml:space="preserve"> 2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HPO</w:t>
            </w:r>
            <w:r>
              <w:rPr>
                <w:b/>
                <w:kern w:val="0"/>
                <w:sz w:val="22"/>
                <w:szCs w:val="22"/>
                <w:vertAlign w:val="subscript"/>
                <w:lang w:eastAsia="en-US" w:bidi="ar-SA"/>
              </w:rPr>
              <w:t>4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Cs/>
                <w:kern w:val="0"/>
                <w:sz w:val="22"/>
                <w:szCs w:val="22"/>
                <w:lang w:eastAsia="en-US" w:bidi="ar-SA"/>
              </w:rPr>
              <w:t xml:space="preserve">Cloruro de Potasio: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KCl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tbl>
            <w:tblPr>
              <w:tblW w:w="4792" w:type="dxa"/>
              <w:jc w:val="center"/>
              <w:tblInd w:w="0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  <w:tblLook w:val="04a0" w:noHBand="0" w:noVBand="1" w:firstColumn="1" w:lastRow="0" w:lastColumn="0" w:firstRow="1"/>
            </w:tblPr>
            <w:tblGrid>
              <w:gridCol w:w="2396"/>
              <w:gridCol w:w="1198"/>
              <w:gridCol w:w="1198"/>
            </w:tblGrid>
            <w:tr>
              <w:trPr>
                <w:trHeight w:val="205" w:hRule="atLeast"/>
              </w:trPr>
              <w:tc>
                <w:tcPr>
                  <w:tcW w:w="23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 Peligrosos</w:t>
                  </w:r>
                </w:p>
              </w:tc>
              <w:tc>
                <w:tcPr>
                  <w:tcW w:w="1198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198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>
              <w:trPr>
                <w:trHeight w:val="205" w:hRule="atLeast"/>
              </w:trPr>
              <w:tc>
                <w:tcPr>
                  <w:tcW w:w="23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Urea</w:t>
                  </w:r>
                </w:p>
              </w:tc>
              <w:tc>
                <w:tcPr>
                  <w:tcW w:w="1198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57-13-6</w:t>
                  </w:r>
                </w:p>
              </w:tc>
              <w:tc>
                <w:tcPr>
                  <w:tcW w:w="1198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&gt;25.50</w:t>
                  </w:r>
                </w:p>
              </w:tc>
            </w:tr>
            <w:tr>
              <w:trPr>
                <w:trHeight w:val="205" w:hRule="atLeast"/>
              </w:trPr>
              <w:tc>
                <w:tcPr>
                  <w:tcW w:w="23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Fosfato Di amónico</w:t>
                  </w:r>
                </w:p>
              </w:tc>
              <w:tc>
                <w:tcPr>
                  <w:tcW w:w="1198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7783-28-0</w:t>
                  </w:r>
                </w:p>
              </w:tc>
              <w:tc>
                <w:tcPr>
                  <w:tcW w:w="1198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r>
                </w:p>
              </w:tc>
            </w:tr>
            <w:tr>
              <w:trPr>
                <w:trHeight w:val="205" w:hRule="atLeast"/>
              </w:trPr>
              <w:tc>
                <w:tcPr>
                  <w:tcW w:w="23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Cloruro de Potasio</w:t>
                  </w:r>
                </w:p>
              </w:tc>
              <w:tc>
                <w:tcPr>
                  <w:tcW w:w="1198" w:type="dxa"/>
                  <w:tcBorders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7447-40-7</w:t>
                  </w:r>
                </w:p>
              </w:tc>
              <w:tc>
                <w:tcPr>
                  <w:tcW w:w="1198" w:type="dxa"/>
                  <w:tcBorders>
                    <w:bottom w:val="single" w:sz="4" w:space="0" w:color="000000"/>
                    <w:end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 xml:space="preserve">     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&gt;25.50</w:t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3.4. Mezcla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Nitrógeno Total (N)                              17.00 %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Nitrógeno Amoniacal (N)        5.00 %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Nitrógeno Ureico (N)             12.00 %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Fósforo Asimilable (P</w:t>
            </w:r>
            <w:r>
              <w:rPr>
                <w:b/>
                <w:kern w:val="0"/>
                <w:sz w:val="22"/>
                <w:szCs w:val="22"/>
                <w:vertAlign w:val="subscript"/>
                <w:lang w:eastAsia="en-US" w:bidi="ar-SA"/>
              </w:rPr>
              <w:t>2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b/>
                <w:kern w:val="0"/>
                <w:sz w:val="22"/>
                <w:szCs w:val="22"/>
                <w:vertAlign w:val="subscript"/>
                <w:lang w:eastAsia="en-US" w:bidi="ar-SA"/>
              </w:rPr>
              <w:t>5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)                      6.00 %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Potasio Soluble en Agua (K</w:t>
            </w:r>
            <w:r>
              <w:rPr>
                <w:b/>
                <w:kern w:val="0"/>
                <w:sz w:val="22"/>
                <w:szCs w:val="22"/>
                <w:vertAlign w:val="subscript"/>
                <w:lang w:eastAsia="en-US" w:bidi="ar-SA"/>
              </w:rPr>
              <w:t>2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O)           17.00 %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Magnesio Total (MgO)                           3.50 %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Azufre Total (S)                                        5.00 %</w:t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kern w:val="0"/>
                <w:sz w:val="2"/>
                <w:szCs w:val="22"/>
                <w:lang w:eastAsia="en-US" w:bidi="ar-SA"/>
              </w:rPr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949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4. MEDIDAS DE PRIMEROS</w:t>
            </w:r>
            <w:r>
              <w:rPr>
                <w:b/>
                <w:color w:val="FFFFFF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AUXILIOS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949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jc w:val="center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</w:rPr>
              <w:t>4.1 Descripción de los Primeros Auxilios</w:t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Trasladar la persona afectada a un lugar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abierto y ventilado</w:t>
            </w:r>
            <w:r>
              <w:rPr>
                <w:kern w:val="0"/>
                <w:sz w:val="22"/>
                <w:szCs w:val="22"/>
                <w:lang w:eastAsia="en-US" w:bidi="ar-SA"/>
              </w:rPr>
              <w:t>, lejos del lugar del evento. Verificar que respira sin dificultad, en caso contrario suministrar oxígeno o dar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respiración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artificial. Mantener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persona abrigada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reposo. Si persiste la dificultad respiratoria, buscar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atención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médica inmediata.</w:t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b/>
                <w:bCs/>
              </w:rPr>
              <w:t>Piel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PARA SUMINISTRAR PRIMEROS AUXILIOS SE DEBE CONTAR CON LA PROTECCIÓN INDICADA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Ojos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NO INDUCIR AL VOMITO. Lavar la boca con abundante agua. Si la persona está consciente, dar a beber varios vasos con agua, el vómito puede ocurrir espontáneamente. Nunca dar algo a ingerir por la boca a una persona inconsciente. Si persisten efectos adversos después de la ingestión, buscar atención medica inmediata.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Inhalación: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Puede causar irritación en el tracto respiratorio.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Ingestión: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Puede causar dolores abdominales, diarrea, náuseas, vómito.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Piel: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Puede causar irritación en caso de contacto prolongado con el producto.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Ojos: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Puede causar irritación de la membrana conjuntiva.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Nota al Médico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Suministrar los primeros auxilios básicos de acuerdo al producto involucrado. Dar tratamiento sintomático.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949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5. MEDIDAS</w:t>
            </w:r>
            <w:r>
              <w:rPr>
                <w:b/>
                <w:color w:val="FFFFFF"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CASO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DE INCENDIOS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ListParagraph"/>
              <w:widowControl w:val="false"/>
              <w:spacing w:before="0" w:after="0"/>
              <w:ind w:start="72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Dióxido de Carbono (CO</w:t>
            </w:r>
            <w:r>
              <w:rPr>
                <w:kern w:val="0"/>
                <w:sz w:val="22"/>
                <w:szCs w:val="22"/>
                <w:vertAlign w:val="subscript"/>
                <w:lang w:eastAsia="en-US" w:bidi="ar-SA"/>
              </w:rPr>
              <w:t>2</w:t>
            </w:r>
            <w:r>
              <w:rPr>
                <w:kern w:val="0"/>
                <w:sz w:val="22"/>
                <w:szCs w:val="22"/>
                <w:lang w:eastAsia="en-US" w:bidi="ar-SA"/>
              </w:rPr>
              <w:t>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Polvo Químico seco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Espuma resistente al alcohol.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Agua pulverizada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Usar el equipo completo de extinción de incendios (Chaqueta, casco, pantalón, guantes y botas de bombero) y el equipo autónomo respiratorio de protección.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La generación de gases irritantes y posiblemente tóxicos por la descomposición térmica o combustión que se pueden dar durante el incendio son </w:t>
            </w: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Dióxido de Carbono, Óxido de Nitrógeno, Amoníaco,  Aminas, Compuestos Halógenos, Óxido de Fósforo, Fosfina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y otros gases derivados de la combustión incompleta. -- Evitar contacto con los materiales y residuos tóxicos.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Retirar el producto del área de incendio si lo puede hacer sin ningún riesgo.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Combatir el incendio en dirección donde sopla el viento.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Enfriar los envases expuestos al fuego.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No ingresar al área de incendio sin el equipo protector completo, incluso un equipo respiratorio autónomo.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Contener los derrames y aislar los escombros para desecharlos posteriormente.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Evitar la contaminación de fuentes de aguas (ríos, arroyos, lagunas, aguas subterráneas y de drenajes) cuando requiera el uso de ésta.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Descontaminar correctamente el equipo protector para el personal y el equipo para combatir los incendios antes de volver a usarlos.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Leer cuidadosamente la hoja de seguridad de este producto.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Peligros inusuales de incendio y explosión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Ninguno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Productos de combustión peligrosos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Ninguno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Punto de inflamación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No inflamable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Límites de combustión (% en el aire por volumen)</w:t>
            </w:r>
          </w:p>
        </w:tc>
        <w:tc>
          <w:tcPr>
            <w:tcW w:w="6453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Inferior: No aplica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Superior: No aplica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2240" w:h="15840"/>
          <w:pgMar w:left="1100" w:right="1340" w:gutter="0" w:header="397" w:top="1420" w:footer="0" w:bottom="280"/>
          <w:pgNumType w:fmt="decimal"/>
          <w:formProt w:val="false"/>
          <w:textDirection w:val="lrTb"/>
          <w:docGrid w:type="default" w:linePitch="299" w:charSpace="0"/>
        </w:sectPr>
      </w:pPr>
    </w:p>
    <w:tbl>
      <w:tblPr>
        <w:tblStyle w:val="TableNormal"/>
        <w:tblW w:w="9526" w:type="dxa"/>
        <w:jc w:val="start"/>
        <w:tblInd w:w="12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noHBand="0" w:noVBand="0" w:firstColumn="1" w:lastRow="1" w:lastColumn="1" w:firstRow="1"/>
      </w:tblPr>
      <w:tblGrid>
        <w:gridCol w:w="9526"/>
      </w:tblGrid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 xml:space="preserve">                                    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6.</w:t>
            </w:r>
            <w:r>
              <w:rPr>
                <w:b/>
                <w:color w:val="FFFFFF"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MEDIDAS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b/>
                <w:color w:val="FFFFFF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CASO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DERRAMES</w:t>
            </w:r>
            <w:r>
              <w:rPr>
                <w:b/>
                <w:color w:val="FFFFFF"/>
                <w:spacing w:val="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ACCIDENTALES</w:t>
            </w:r>
          </w:p>
        </w:tc>
      </w:tr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6.1. Precauciones individuales, equipos de protección y procedimientos de emergencia.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Tomar las precauciones correctas en caso de derrame accidental del producto, a fin de evitar posible intoxicación.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Usar siempre un equipo de protección adecuado para impedir cualquier contaminación de la piel, ojos y ropa, tales como guantes de nitrilo, neopreno o PVC, mascarilla con protección respiratoria, overol y botas de nitrilo antes de entrar a controlar el derrame.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El producto debe ser recogido con el equipo adecuado y depositarse en un empaque hermético para su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disposición final (recuperación, procesos de filtración, depuración o incineración).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Los derrames pequeños se deben recoger con un material inerte absorbente como aserrín, arena o tierra para luego incinerar.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Para derrames mayores, deben confinarse en medios de contención (diques de arena o tierra).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6.2. Precauciones medioambientales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Impedir y mantener el derrame alejado de fuentes de aguas (desagües, drenajes de alcantarilla, ríos, lagos o depósitos de agua superficiales y subterráneas entre otros).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Los derrames incontrolados a cuerpos de agua deben ser comunicados a las autoridades competentes.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6.3. Métodos y materiales de contención y limpieza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- Derrames en tierra</w:t>
            </w:r>
            <w:r>
              <w:rPr>
                <w:kern w:val="0"/>
                <w:sz w:val="22"/>
                <w:szCs w:val="22"/>
                <w:lang w:eastAsia="en-US" w:bidi="ar-SA"/>
              </w:rPr>
              <w:t>: Usar el equipo de protección personal adecuada durante la contención y limpieza del derrame.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- Contención: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Reducir la cantidad de polvo presente del producto en el aire. Evitar que los residuos lleguen a fuentes de aguas superficiales y subterráneas.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- Limpieza: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- Derrames en agua: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- Contención: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Este producto es soluble en agua. Los derrames incontrolados a fuentes de agua deben ser comunicados a las autoridades competentes.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</w:t>
            </w: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Limpieza: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tbl>
      <w:tblPr>
        <w:tblStyle w:val="TableNormal"/>
        <w:tblW w:w="9526" w:type="dxa"/>
        <w:jc w:val="start"/>
        <w:tblInd w:w="12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noHBand="0" w:noVBand="0" w:firstColumn="1" w:lastRow="1" w:lastColumn="1" w:firstRow="1"/>
      </w:tblPr>
      <w:tblGrid>
        <w:gridCol w:w="9526"/>
      </w:tblGrid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7. MANEJO Y</w:t>
            </w:r>
            <w:r>
              <w:rPr>
                <w:b/>
                <w:color w:val="FFFFFF"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ALMACENAMIENTO</w:t>
            </w:r>
          </w:p>
        </w:tc>
      </w:tr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7.1. Condiciones Generales: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Leer completamente esta hoja de seguridad.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Usar el producto de acuerdo a las indicaciones, recomendaciones y precauciones contenidas en ella.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Conocer de antemano dónde se encuentra el equipo para la atención de emergencias.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Rotular los bloques, estibas o contenedores del producto.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El producto se debe manejar y almacenar en sitios seguros de buena ventilación, pisos de cemento y sistema de mitigación o contención de derrames.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Aplicar las guías de buenas prácticas de almacenamiento establecidas en cada país, como también las regulaciones nacionales de seguridad para el manejo, transporte y almacenamiento de sustancias químicas peligrosas.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7.2. Condiciones de Manejo seguro</w:t>
            </w:r>
            <w:r>
              <w:rPr>
                <w:kern w:val="0"/>
                <w:sz w:val="22"/>
                <w:szCs w:val="22"/>
                <w:lang w:eastAsia="en-US" w:bidi="ar-SA"/>
              </w:rPr>
              <w:t>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El producto no está clasificado como peligroso.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Manejar y abrir con mucho cuidado los sitios de almacenamiento del producto (contenedor, bodegas).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- Evitar respirar los vapores o gases del producto.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Manejar el producto en áreas ventiladas adecuadamente.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Durante el manejo del producto no coma, beba o fume.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Usar los elementos de protección personal (guantes de nitrilo, neopreno o PVC, gafas o mascarilla adecuada) durante el manejo del producto.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Evitar el contacto con piel, ojos y ropa.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Evitar el manejo brusco o inadecuado del producto.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No reutilizar los envases vacíos del producto.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Bañarse con agua y jabón después de manejar el producto, no reutilizar la ropa contaminada y lavarla por separado para no contaminar otras prendas. Ponerse ropa limpia.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Evite contaminar las fuentes de aguas superficiales y/o subterráneas cuando limpie el equipo de trabajo o elimine los desechos.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7.3. Condiciones de Almacenamiento seguro, incluidas posibles incompatibilidades: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Mantener fuera del alcance de niños, personas inexpertas y animales domésticos.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Almacenar en lugares lejos de alimentos y bebidas para los seres humanos o animales.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Conservar el producto en su recipiente original, cerrado, etiquetado y en un lugar fresco y seco, protegido del sol y la lluvia, lejos de fuentes de calor o de congelación.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No almacenar con productos corrosivos o explosivos o sustancias incompatibles.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8. CONTROLES</w:t>
            </w:r>
            <w:r>
              <w:rPr>
                <w:b/>
                <w:color w:val="FFFFFF"/>
                <w:spacing w:val="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DE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EXPOSICIÓN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Y</w:t>
            </w:r>
            <w:r>
              <w:rPr>
                <w:b/>
                <w:color w:val="FFFFFF"/>
                <w:spacing w:val="4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PROTECCION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PERSONAL</w:t>
            </w:r>
          </w:p>
        </w:tc>
      </w:tr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8.1 Parámetros de Control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Límites de exposición ocupacional: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TLV-TWA (ACGIH):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CMP (Res. MTESS 295/03):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CMP-CPT (Res. MTESS 295/03):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TLV-STEL (ACGIH):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PEL (OSHA 29 CFR 1910.1000):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IDLH (NIOSH):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PNEC (agua):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PNEC (mar):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PNEC-STP: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8.2. Controles de la exposición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8.2.1 Controles Técnicos Apropiados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Lavarse las manos antes del descanso y después de terminar la jornada laboral.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8.3. Medidas de protección personal para el manejo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Medidas generales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-El uso y manejo adecuado del producto, requiere el equipo de protección individual.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Protección de los ojos y la cara: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Evitar que este producto entre en sus ojos. Para el manejo se recomienda el uso de gafas de seguridad con protectores laterales o mascaras protectoras contra productos químicos.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Mantener en el área de trabajo un equipo de lavado y enjuague de ojos y cuerpo (lava ojos, regadera).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Protección Respiratoria: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Protección de la piel: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Medidas de precaución después del trabajo: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Lavar cuidadosamente el equipo de protección personal y el equipo utilizado con solución jabonosa o Soda caustica.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szCs w:val="24"/>
              </w:rPr>
            </w:pPr>
            <w:r>
              <w:rPr>
                <w:b/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9.</w:t>
            </w:r>
            <w:r>
              <w:rPr>
                <w:b/>
                <w:color w:val="FFFFFF"/>
                <w:spacing w:val="-4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PROPIEDADES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FÍSICAS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Y QUÍMICAS</w:t>
            </w:r>
          </w:p>
        </w:tc>
      </w:tr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FFFFFF"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themeColor="text1" w:val="000000"/>
                <w:szCs w:val="24"/>
              </w:rPr>
            </w:pPr>
            <w:r>
              <w:rPr>
                <w:b/>
                <w:color w:themeColor="text1" w:val="000000"/>
                <w:kern w:val="0"/>
                <w:sz w:val="22"/>
                <w:szCs w:val="24"/>
                <w:lang w:eastAsia="en-US" w:bidi="ar-SA"/>
              </w:rPr>
              <w:t>9.1 Información Básica sobre las propiedades Física-Químicas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FFFFFF"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Estado Físico: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Sólido Granulado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Color: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Blanco, rojo, gris, negro y amarillo claro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Olor: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Característico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Umbral olfativo: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pH: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5.52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Punto de fusión: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Punto de ebullición: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Tasa de evaporación: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Punto de inflamación: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inflamable Ni combustible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Velocidad de evaporación: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Inflamabilidad (sólido/gas):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Inflamable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Límite superior/inferior de inflamabilidad o de posible explosión: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Presión de vapor: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Densidad: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Densidad de vapor: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Densidad relativa: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Solubilidad en agua (20 </w:t>
            </w:r>
            <w:r>
              <w:rPr>
                <w:b/>
                <w:bCs/>
                <w:kern w:val="0"/>
                <w:sz w:val="22"/>
                <w:szCs w:val="22"/>
                <w:vertAlign w:val="superscript"/>
                <w:lang w:eastAsia="en-US" w:bidi="ar-SA"/>
              </w:rPr>
              <w:t>0</w:t>
            </w: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Coeficiente de reparto n-octanol/agua: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Temperatura de autoignición: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Temperatura de descomposición: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aplica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Viscosidad Cinemática: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aplica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Conductividad Eléctrica (1:100):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10.67 dS/m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Constante de Henry (20 </w:t>
            </w:r>
            <w:r>
              <w:rPr>
                <w:b/>
                <w:bCs/>
                <w:kern w:val="0"/>
                <w:sz w:val="22"/>
                <w:szCs w:val="22"/>
                <w:vertAlign w:val="superscript"/>
                <w:lang w:eastAsia="en-US" w:bidi="ar-SA"/>
              </w:rPr>
              <w:t>0</w:t>
            </w: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Humedad: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5.88 %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% de volátiles: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Propiedades Explosivas</w:t>
            </w:r>
            <w:r>
              <w:rPr>
                <w:kern w:val="0"/>
                <w:sz w:val="22"/>
                <w:szCs w:val="22"/>
                <w:lang w:eastAsia="en-US" w:bidi="ar-SA"/>
              </w:rPr>
              <w:t>: No explosiva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9.2 Otra información adicional de seguridad: </w:t>
            </w:r>
            <w:r>
              <w:rPr>
                <w:kern w:val="0"/>
                <w:sz w:val="22"/>
                <w:szCs w:val="22"/>
                <w:lang w:eastAsia="en-US" w:bidi="ar-SA"/>
              </w:rPr>
              <w:t>Ninguna conocida.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FFFFFF"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</w:rPr>
      </w:r>
    </w:p>
    <w:tbl>
      <w:tblPr>
        <w:tblStyle w:val="TableNormal"/>
        <w:tblW w:w="9526" w:type="dxa"/>
        <w:jc w:val="start"/>
        <w:tblInd w:w="12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noHBand="0" w:noVBand="0" w:firstColumn="1" w:lastRow="1" w:lastColumn="1" w:firstRow="1"/>
      </w:tblPr>
      <w:tblGrid>
        <w:gridCol w:w="9526"/>
      </w:tblGrid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10.</w:t>
            </w:r>
            <w:r>
              <w:rPr>
                <w:b/>
                <w:color w:val="FFFFFF"/>
                <w:spacing w:val="-1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ESTABILIDAD</w:t>
            </w:r>
            <w:r>
              <w:rPr>
                <w:b/>
                <w:color w:val="FFFFFF"/>
                <w:spacing w:val="-7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Y</w:t>
            </w:r>
            <w:r>
              <w:rPr>
                <w:b/>
                <w:color w:val="FFFFFF"/>
                <w:spacing w:val="1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REACTIVIDAD</w:t>
            </w:r>
          </w:p>
        </w:tc>
      </w:tr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10.1 Estabilidad química: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Químicamente estable bajo condiciones normales de manejo o almacenamiento. Estable en soluciones moderadamente ácidas y neutras. No es corrosivo para los metales ni reacciona con el agua.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10.2 Reactividad: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reactivo bajo condiciones normales de manejo o almacenamiento.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10.3 Incompatibilidad: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Ácidos y bases fuertes, agentes reductores, cromatos, zinc, cobre y sus aleaciones, cloratos y álcalis.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10.4 Productos de descomposición peligrosos: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Ninguno conocido bajo condiciones normales. La exposición a altas temperatura de este producto puede producir gases tóxicos por descomposición térmica (véase sección 5.3).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10.5 Polimerización peligrosa: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polimeriza.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10.6 Condiciones a evitar: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Ninguna conocida.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10.7 Materiales a evitar: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Ninguno conocido.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FFFFFF"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11. INFORMACIÓN TOXICOLÓGICA</w:t>
            </w:r>
          </w:p>
        </w:tc>
      </w:tr>
      <w:tr>
        <w:trPr>
          <w:trHeight w:val="169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Toxicidad aguda: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DL</w:t>
            </w:r>
            <w:r>
              <w:rPr>
                <w:kern w:val="0"/>
                <w:sz w:val="22"/>
                <w:szCs w:val="22"/>
                <w:vertAlign w:val="subscript"/>
                <w:lang w:eastAsia="en-US" w:bidi="ar-SA"/>
              </w:rPr>
              <w:t>50</w:t>
            </w:r>
            <w:r>
              <w:rPr>
                <w:kern w:val="0"/>
                <w:sz w:val="22"/>
                <w:szCs w:val="22"/>
                <w:lang w:eastAsia="en-US" w:bidi="ar-SA"/>
              </w:rPr>
              <w:t>: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Toxicidad dérmica: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DL50: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Toxicidad por inhalación: CL50: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Sensibilización respiratoria o cutánea: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Irritación de los ojos: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Irritación ocular grave.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Irritación de la piel: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Levemente irritante en contacto permanente sin la protección adecuada.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Sensibilización de la piel: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Toxicidad sub-crónica: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Toxicidad crónica: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conocen efectos carcinogénicos, ni mutagénicos, ni teratogénico, ni toxicidad reproductiva, ni para las materias primas empleadas ni para el producto aquí descrito.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Carcinogenicidad: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carcinógeno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Mutagenicidad: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mutágeno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Neurotoxicidad: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szCs w:val="24"/>
                <w:u w:val="single"/>
              </w:rPr>
            </w:pPr>
            <w:r>
              <w:rPr>
                <w:b/>
                <w:kern w:val="0"/>
                <w:sz w:val="22"/>
                <w:szCs w:val="24"/>
                <w:u w:val="single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szCs w:val="24"/>
              </w:rPr>
            </w:pPr>
            <w:r>
              <w:rPr>
                <w:b/>
                <w:kern w:val="0"/>
                <w:sz w:val="22"/>
                <w:szCs w:val="24"/>
                <w:lang w:eastAsia="en-US" w:bidi="ar-SA"/>
              </w:rPr>
              <w:t>Efectos agudos y retardados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Cs/>
                <w:szCs w:val="24"/>
              </w:rPr>
            </w:pPr>
            <w:r>
              <w:rPr>
                <w:b/>
                <w:kern w:val="0"/>
                <w:sz w:val="22"/>
                <w:szCs w:val="24"/>
                <w:lang w:eastAsia="en-US" w:bidi="ar-SA"/>
              </w:rPr>
              <w:t xml:space="preserve">Vía de Exposición: </w:t>
            </w:r>
            <w:r>
              <w:rPr>
                <w:bCs/>
                <w:kern w:val="0"/>
                <w:sz w:val="22"/>
                <w:szCs w:val="24"/>
                <w:lang w:eastAsia="en-US" w:bidi="ar-SA"/>
              </w:rPr>
              <w:t>Inhalación, vía dermal y ocular.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Cs/>
                <w:szCs w:val="24"/>
              </w:rPr>
            </w:pPr>
            <w:r>
              <w:rPr>
                <w:b/>
                <w:kern w:val="0"/>
                <w:sz w:val="22"/>
                <w:szCs w:val="24"/>
                <w:lang w:eastAsia="en-US" w:bidi="ar-SA"/>
              </w:rPr>
              <w:t>Ingestión:</w:t>
            </w:r>
            <w:r>
              <w:rPr>
                <w:bCs/>
                <w:kern w:val="0"/>
                <w:sz w:val="22"/>
                <w:szCs w:val="24"/>
                <w:lang w:eastAsia="en-US" w:bidi="ar-SA"/>
              </w:rPr>
              <w:t xml:space="preserve"> Dolores abdominales, vómitos y diarrea.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Cs/>
                <w:szCs w:val="24"/>
              </w:rPr>
            </w:pPr>
            <w:r>
              <w:rPr>
                <w:b/>
                <w:kern w:val="0"/>
                <w:sz w:val="22"/>
                <w:szCs w:val="24"/>
                <w:lang w:eastAsia="en-US" w:bidi="ar-SA"/>
              </w:rPr>
              <w:t>Inhalación</w:t>
            </w:r>
            <w:r>
              <w:rPr>
                <w:bCs/>
                <w:kern w:val="0"/>
                <w:sz w:val="22"/>
                <w:szCs w:val="24"/>
                <w:lang w:eastAsia="en-US" w:bidi="ar-SA"/>
              </w:rPr>
              <w:t>: Irritación en las vías respiratorias.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Cs/>
                <w:szCs w:val="24"/>
              </w:rPr>
            </w:pPr>
            <w:r>
              <w:rPr>
                <w:b/>
                <w:kern w:val="0"/>
                <w:sz w:val="22"/>
                <w:szCs w:val="24"/>
                <w:lang w:eastAsia="en-US" w:bidi="ar-SA"/>
              </w:rPr>
              <w:t>Contacto con los Ojos:</w:t>
            </w:r>
            <w:r>
              <w:rPr>
                <w:bCs/>
                <w:kern w:val="0"/>
                <w:sz w:val="22"/>
                <w:szCs w:val="24"/>
                <w:lang w:eastAsia="en-US" w:bidi="ar-SA"/>
              </w:rPr>
              <w:t xml:space="preserve"> Afecciones oculares (conjuntivitis y ardor).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Cs/>
                <w:szCs w:val="24"/>
              </w:rPr>
            </w:pPr>
            <w:r>
              <w:rPr>
                <w:b/>
                <w:kern w:val="0"/>
                <w:sz w:val="22"/>
                <w:szCs w:val="24"/>
                <w:lang w:eastAsia="en-US" w:bidi="ar-SA"/>
              </w:rPr>
              <w:t xml:space="preserve">Contacto con la piel: </w:t>
            </w:r>
            <w:r>
              <w:rPr>
                <w:bCs/>
                <w:kern w:val="0"/>
                <w:sz w:val="22"/>
                <w:szCs w:val="24"/>
                <w:lang w:eastAsia="en-US" w:bidi="ar-SA"/>
              </w:rPr>
              <w:t>Resecamiento en la zona afectada.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12. INFORMACION ECOLÓGICA</w:t>
            </w:r>
          </w:p>
        </w:tc>
      </w:tr>
      <w:tr>
        <w:trPr>
          <w:trHeight w:val="169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12.1 Ecotoxicidad (acuática y terrestre):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12.2 Persistencia y degradabilidad: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12.3 Potencial de bioacumulación: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12.4 Movilidad en suelo: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12.5 Resultados de la valoración PBT y mPmB: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12.6 Otros efectos adversos: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185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13.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CONSIDERACIONES</w:t>
            </w:r>
            <w:r>
              <w:rPr>
                <w:b/>
                <w:color w:val="FFFFFF"/>
                <w:spacing w:val="-1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Y DISPOSICIONES PARA DESECHO</w:t>
            </w:r>
          </w:p>
        </w:tc>
      </w:tr>
      <w:tr>
        <w:trPr>
          <w:trHeight w:val="376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Información sobre gestión de desechos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Eliminación de los desechos contaminados: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Envases y embalajes rígidos: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Realice el procedimiento triple lavado de envases, vertiendo el agua en el depósito del pulverizador. Perfore y recicle el envase para evitar su reutilización.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Bolsas, sacos, envases y embalajes flexibles: </w:t>
            </w:r>
            <w:r>
              <w:rPr>
                <w:kern w:val="0"/>
                <w:sz w:val="22"/>
                <w:szCs w:val="22"/>
                <w:lang w:eastAsia="en-US" w:bidi="ar-SA"/>
              </w:rPr>
              <w:t>Doblar el material contaminado por mitades hasta donde sea posible, colocarlo en bolsa transparente y rotulado para posterior disposición a un centro de acopio de residuos o entregarlos una empresa especializada y autorizada en manejo de residuos.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tbl>
      <w:tblPr>
        <w:tblStyle w:val="TableNormal"/>
        <w:tblW w:w="9526" w:type="dxa"/>
        <w:jc w:val="start"/>
        <w:tblInd w:w="12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noHBand="0" w:noVBand="0" w:firstColumn="1" w:lastRow="1" w:lastColumn="1" w:firstRow="1"/>
      </w:tblPr>
      <w:tblGrid>
        <w:gridCol w:w="9526"/>
      </w:tblGrid>
      <w:tr>
        <w:trPr>
          <w:trHeight w:val="185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14. INFORMACIÓN SOBRE EL TRANSPORTE</w:t>
            </w:r>
          </w:p>
        </w:tc>
      </w:tr>
      <w:tr>
        <w:trPr>
          <w:trHeight w:val="376" w:hRule="atLeast"/>
        </w:trPr>
        <w:tc>
          <w:tcPr>
            <w:tcW w:w="9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kern w:val="0"/>
                <w:sz w:val="21"/>
                <w:szCs w:val="22"/>
                <w:lang w:eastAsia="en-US" w:bidi="ar-SA"/>
              </w:rPr>
              <w:t>- ESTE PRODUCTO NO ES PELIGROSO NI REPRESENTA RESTRICCIÓN ALGUNA PARA SU TRANSPORTE</w:t>
            </w:r>
            <w:r>
              <w:rPr>
                <w:spacing w:val="-5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1"/>
                <w:szCs w:val="22"/>
                <w:lang w:eastAsia="en-US" w:bidi="ar-SA"/>
              </w:rPr>
              <w:t>(terrestre,</w:t>
            </w:r>
            <w:r>
              <w:rPr>
                <w:spacing w:val="-5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1"/>
                <w:szCs w:val="22"/>
                <w:lang w:eastAsia="en-US" w:bidi="ar-SA"/>
              </w:rPr>
              <w:t>fluvial,</w:t>
            </w:r>
            <w:r>
              <w:rPr>
                <w:spacing w:val="-5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1"/>
                <w:szCs w:val="22"/>
                <w:lang w:eastAsia="en-US" w:bidi="ar-SA"/>
              </w:rPr>
              <w:t>marítimo</w:t>
            </w:r>
            <w:r>
              <w:rPr>
                <w:spacing w:val="-7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1"/>
                <w:szCs w:val="22"/>
                <w:lang w:eastAsia="en-US" w:bidi="ar-SA"/>
              </w:rPr>
              <w:t>o</w:t>
            </w:r>
            <w:r>
              <w:rPr>
                <w:spacing w:val="-4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1"/>
                <w:szCs w:val="22"/>
                <w:lang w:eastAsia="en-US" w:bidi="ar-SA"/>
              </w:rPr>
              <w:t>aéreo).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14.1. Transporte Terrestre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Nombre apropiado para el transporte</w:t>
            </w:r>
            <w:r>
              <w:rPr>
                <w:kern w:val="0"/>
                <w:sz w:val="21"/>
                <w:szCs w:val="22"/>
                <w:lang w:eastAsia="en-US" w:bidi="ar-SA"/>
              </w:rPr>
              <w:t>: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</w:t>
            </w:r>
            <w:r>
              <w:rPr>
                <w:b/>
                <w:bCs/>
                <w:kern w:val="0"/>
                <w:sz w:val="21"/>
                <w:szCs w:val="22"/>
                <w:vertAlign w:val="superscript"/>
                <w:lang w:eastAsia="en-US" w:bidi="ar-SA"/>
              </w:rPr>
              <w:t>o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 UN/ID: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Clase de peligro: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Grupo de embalaje: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Código de riesgo: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14.2. Transporte aéreo (ICAO/IATA)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Nombre apropiado para el Embarque</w:t>
            </w:r>
            <w:r>
              <w:rPr>
                <w:kern w:val="0"/>
                <w:sz w:val="21"/>
                <w:szCs w:val="22"/>
                <w:lang w:eastAsia="en-US" w:bidi="ar-SA"/>
              </w:rPr>
              <w:t>: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</w:t>
            </w:r>
            <w:r>
              <w:rPr>
                <w:b/>
                <w:bCs/>
                <w:kern w:val="0"/>
                <w:sz w:val="21"/>
                <w:szCs w:val="22"/>
                <w:vertAlign w:val="superscript"/>
                <w:lang w:eastAsia="en-US" w:bidi="ar-SA"/>
              </w:rPr>
              <w:t>o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 UN/ID: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Clase de peligro: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Grupo de embalaje: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Código de riesgo: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Instrucciones para aviones de pasajeros y carga:</w:t>
            </w:r>
            <w:r>
              <w:rPr>
                <w:kern w:val="0"/>
                <w:sz w:val="21"/>
                <w:szCs w:val="22"/>
                <w:lang w:eastAsia="en-US" w:bidi="ar-SA"/>
              </w:rPr>
              <w:t xml:space="preserve">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Instrucciones para aviones de carga:</w:t>
            </w:r>
            <w:r>
              <w:rPr>
                <w:kern w:val="0"/>
                <w:sz w:val="21"/>
                <w:szCs w:val="22"/>
                <w:lang w:eastAsia="en-US" w:bidi="ar-SA"/>
              </w:rPr>
              <w:t xml:space="preserve">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CRE:</w:t>
            </w:r>
            <w:r>
              <w:rPr>
                <w:kern w:val="0"/>
                <w:sz w:val="21"/>
                <w:szCs w:val="22"/>
                <w:lang w:eastAsia="en-US" w:bidi="ar-SA"/>
              </w:rPr>
              <w:t xml:space="preserve">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14.3. Transporte Marítimo (IMO)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Nombre apropiado para el transporte</w:t>
            </w:r>
            <w:r>
              <w:rPr>
                <w:kern w:val="0"/>
                <w:sz w:val="21"/>
                <w:szCs w:val="22"/>
                <w:lang w:eastAsia="en-US" w:bidi="ar-SA"/>
              </w:rPr>
              <w:t>: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</w:t>
            </w:r>
            <w:r>
              <w:rPr>
                <w:b/>
                <w:bCs/>
                <w:kern w:val="0"/>
                <w:sz w:val="21"/>
                <w:szCs w:val="22"/>
                <w:vertAlign w:val="superscript"/>
                <w:lang w:eastAsia="en-US" w:bidi="ar-SA"/>
              </w:rPr>
              <w:t>o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 UN/ID: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Clase de peligro: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Grupo de embalaje: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EMS: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Estiba y Segregación: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Contaminante Marino: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Nombre para la documentación de transporte: </w:t>
            </w:r>
            <w:r>
              <w:rPr>
                <w:kern w:val="0"/>
                <w:sz w:val="21"/>
                <w:szCs w:val="22"/>
                <w:lang w:eastAsia="en-US" w:bidi="ar-SA"/>
              </w:rPr>
              <w:t>CLASIFICADO COMO PRODUCTO NO PELIGROSO.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  <w:r>
        <w:br w:type="page"/>
      </w:r>
    </w:p>
    <w:tbl>
      <w:tblPr>
        <w:tblStyle w:val="TableNormal"/>
        <w:tblW w:w="9526" w:type="dxa"/>
        <w:jc w:val="start"/>
        <w:tblInd w:w="12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noHBand="0" w:noVBand="0" w:firstColumn="1" w:lastRow="1" w:lastColumn="1" w:firstRow="1"/>
      </w:tblPr>
      <w:tblGrid>
        <w:gridCol w:w="2580"/>
        <w:gridCol w:w="1943"/>
        <w:gridCol w:w="5003"/>
      </w:tblGrid>
      <w:tr>
        <w:trPr>
          <w:trHeight w:val="185" w:hRule="atLeast"/>
        </w:trPr>
        <w:tc>
          <w:tcPr>
            <w:tcW w:w="952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pageBreakBefore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15.</w:t>
            </w:r>
            <w:r>
              <w:rPr>
                <w:b/>
                <w:color w:val="FFFFFF"/>
                <w:spacing w:val="-1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INFORMACIÓN REGLAMENTARIA</w:t>
            </w:r>
          </w:p>
        </w:tc>
      </w:tr>
      <w:tr>
        <w:trPr>
          <w:trHeight w:val="376" w:hRule="atLeast"/>
        </w:trPr>
        <w:tc>
          <w:tcPr>
            <w:tcW w:w="25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NTC 4435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(1998-07-22)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</w:r>
          </w:p>
        </w:tc>
        <w:tc>
          <w:tcPr>
            <w:tcW w:w="69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NORMA TECNICA COLOMBIANA – ICONTEC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Transporte de Mercancías. Hoja de Seguridad para Materiales. Preparación.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376" w:hRule="atLeast"/>
        </w:trPr>
        <w:tc>
          <w:tcPr>
            <w:tcW w:w="25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Ley 9 de 1979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artículo 130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(Y demás modificaciones)</w:t>
            </w:r>
          </w:p>
        </w:tc>
        <w:tc>
          <w:tcPr>
            <w:tcW w:w="69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MINISTERIO DE SALUD DE COLOMBIA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>
        <w:trPr>
          <w:trHeight w:val="376" w:hRule="atLeast"/>
        </w:trPr>
        <w:tc>
          <w:tcPr>
            <w:tcW w:w="25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Ley 55 de 1993</w:t>
            </w:r>
          </w:p>
        </w:tc>
        <w:tc>
          <w:tcPr>
            <w:tcW w:w="69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EL CONGRESO DE LA REPUBLICA DE COLOMBIA – CONVENIO CON OIT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Seguridad en la utilización de los productos químicos en el trabajo y Obligaciones de los proveedores de suministrar las fichas técnicas u hojas de seguridad.</w:t>
            </w:r>
          </w:p>
        </w:tc>
      </w:tr>
      <w:tr>
        <w:trPr>
          <w:trHeight w:val="376" w:hRule="atLeast"/>
        </w:trPr>
        <w:tc>
          <w:tcPr>
            <w:tcW w:w="25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Decreto 1076/2015 título 6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(Y demás modificaciones)</w:t>
            </w:r>
          </w:p>
        </w:tc>
        <w:tc>
          <w:tcPr>
            <w:tcW w:w="69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SECTOR AMBIENTE Y DESARROLLO SOSTENIBLE – REPUBLICA DE COLOMBIA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Reglamentación parcial para la prevención y el manejo de los residuos o desechos peligrosos generados en el marco de la gestión integral.</w:t>
            </w:r>
          </w:p>
        </w:tc>
      </w:tr>
      <w:tr>
        <w:trPr>
          <w:trHeight w:val="376" w:hRule="atLeast"/>
        </w:trPr>
        <w:tc>
          <w:tcPr>
            <w:tcW w:w="25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Decreto 1079/2015 Sección 8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(Y demás modificaciones)</w:t>
            </w:r>
          </w:p>
        </w:tc>
        <w:tc>
          <w:tcPr>
            <w:tcW w:w="69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MINISTERIO DE TRANSPORTE DE COLOMBIA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Transporte terrestre automotor de mercancías peligrosas por carretera.</w:t>
            </w:r>
          </w:p>
        </w:tc>
      </w:tr>
      <w:tr>
        <w:trPr>
          <w:trHeight w:val="376" w:hRule="atLeast"/>
        </w:trPr>
        <w:tc>
          <w:tcPr>
            <w:tcW w:w="25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Decreto</w:t>
            </w:r>
            <w:r>
              <w:rPr>
                <w:b/>
                <w:bCs/>
                <w:spacing w:val="1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1344</w:t>
            </w:r>
            <w:r>
              <w:rPr>
                <w:b/>
                <w:bCs/>
                <w:spacing w:val="2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de</w:t>
            </w:r>
            <w:r>
              <w:rPr>
                <w:b/>
                <w:bCs/>
                <w:spacing w:val="-1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1970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0"/>
                <w:szCs w:val="20"/>
                <w:lang w:eastAsia="en-US" w:bidi="ar-SA"/>
              </w:rPr>
              <w:t>Derogado por ley 769 de 2002</w:t>
            </w:r>
          </w:p>
        </w:tc>
        <w:tc>
          <w:tcPr>
            <w:tcW w:w="69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CODIGO NACIONAL DE TRANSITO TERRESTRE DE COLOMBIA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Medidas de protección, higiene y seguridad para transportar cargas.</w:t>
            </w:r>
          </w:p>
        </w:tc>
      </w:tr>
      <w:tr>
        <w:trPr>
          <w:trHeight w:val="376" w:hRule="atLeast"/>
        </w:trPr>
        <w:tc>
          <w:tcPr>
            <w:tcW w:w="25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SGA 2015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Sexta edición revisada</w:t>
            </w:r>
          </w:p>
        </w:tc>
        <w:tc>
          <w:tcPr>
            <w:tcW w:w="69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SISTEMA GLOBALMENTE ARMONIZADO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Clasificación y etiquetado de productos químicos.</w:t>
            </w:r>
          </w:p>
        </w:tc>
      </w:tr>
      <w:tr>
        <w:trPr>
          <w:trHeight w:val="376" w:hRule="atLeast"/>
        </w:trPr>
        <w:tc>
          <w:tcPr>
            <w:tcW w:w="25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Reglamento (CE)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No 1005/2009</w:t>
            </w:r>
          </w:p>
        </w:tc>
        <w:tc>
          <w:tcPr>
            <w:tcW w:w="69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EL PARLAMENTO EUROPEO Y EL CONSEJO DE LA UNION EUROPEA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Sobre las sustancias que agotan la capa de ozono</w:t>
            </w:r>
          </w:p>
        </w:tc>
      </w:tr>
      <w:tr>
        <w:trPr>
          <w:trHeight w:val="376" w:hRule="atLeast"/>
        </w:trPr>
        <w:tc>
          <w:tcPr>
            <w:tcW w:w="25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Directiva (CE)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No 2004/42</w:t>
            </w:r>
          </w:p>
        </w:tc>
        <w:tc>
          <w:tcPr>
            <w:tcW w:w="69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EL PARLAMENTO EUROPEO Y EL CONSEJO DE LA UNION EUROPEA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Limitación de las emisiones de compuestos orgánicos volátiles (COV)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185" w:hRule="atLeast"/>
        </w:trPr>
        <w:tc>
          <w:tcPr>
            <w:tcW w:w="952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16. OTRAS INFORMACIONES</w:t>
            </w:r>
          </w:p>
        </w:tc>
      </w:tr>
      <w:tr>
        <w:trPr>
          <w:trHeight w:val="376" w:hRule="atLeast"/>
        </w:trPr>
        <w:tc>
          <w:tcPr>
            <w:tcW w:w="952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16.1 Abreviaturas y acrónimos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N/A: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No aplica.</w:t>
            </w:r>
          </w:p>
        </w:tc>
        <w:tc>
          <w:tcPr>
            <w:tcW w:w="5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TLV: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Valor Limite Umbral.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N/D: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Sin información disponible.</w:t>
            </w:r>
          </w:p>
        </w:tc>
        <w:tc>
          <w:tcPr>
            <w:tcW w:w="5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TWA: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Media Ponderada en el Tiempo.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CAS: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Servicio de Resúmenes Químicos.</w:t>
            </w:r>
          </w:p>
        </w:tc>
        <w:tc>
          <w:tcPr>
            <w:tcW w:w="5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STEL: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Limite de Exposición.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IARC: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Agencia Internacional para la investigación del cáncer.</w:t>
            </w:r>
          </w:p>
        </w:tc>
        <w:tc>
          <w:tcPr>
            <w:tcW w:w="5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ACGIH: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American Conference of Governmental Industrial Hygienists.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PEL</w:t>
            </w:r>
            <w:r>
              <w:rPr>
                <w:kern w:val="0"/>
                <w:sz w:val="22"/>
                <w:szCs w:val="24"/>
                <w:lang w:eastAsia="en-US" w:bidi="ar-SA"/>
              </w:rPr>
              <w:t>: Límite de Exposición Permitido.</w:t>
            </w:r>
          </w:p>
        </w:tc>
        <w:tc>
          <w:tcPr>
            <w:tcW w:w="5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REL: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Limite de Exposición Recomendada.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INSHT: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Instituto Nacional de Seguridad e Higiene del Trabajo.</w:t>
            </w:r>
          </w:p>
        </w:tc>
        <w:tc>
          <w:tcPr>
            <w:tcW w:w="5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CL</w:t>
            </w:r>
            <w:r>
              <w:rPr>
                <w:b/>
                <w:bCs/>
                <w:kern w:val="0"/>
                <w:sz w:val="22"/>
                <w:szCs w:val="24"/>
                <w:vertAlign w:val="subscript"/>
                <w:lang w:eastAsia="en-US" w:bidi="ar-SA"/>
              </w:rPr>
              <w:t>50</w:t>
            </w: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Concentración Letal Media.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ETA: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Estimación de la Toxicidad Aguda.</w:t>
            </w:r>
          </w:p>
        </w:tc>
        <w:tc>
          <w:tcPr>
            <w:tcW w:w="5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CE</w:t>
            </w:r>
            <w:r>
              <w:rPr>
                <w:b/>
                <w:bCs/>
                <w:kern w:val="0"/>
                <w:sz w:val="22"/>
                <w:szCs w:val="24"/>
                <w:vertAlign w:val="subscript"/>
                <w:lang w:eastAsia="en-US" w:bidi="ar-SA"/>
              </w:rPr>
              <w:t>50</w:t>
            </w: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Concentración Efectiva Media.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DL</w:t>
            </w:r>
            <w:r>
              <w:rPr>
                <w:b/>
                <w:bCs/>
                <w:kern w:val="0"/>
                <w:sz w:val="22"/>
                <w:szCs w:val="24"/>
                <w:vertAlign w:val="subscript"/>
                <w:lang w:eastAsia="en-US" w:bidi="ar-SA"/>
              </w:rPr>
              <w:t>50</w:t>
            </w: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Dosis Letal Media</w:t>
            </w:r>
          </w:p>
        </w:tc>
        <w:tc>
          <w:tcPr>
            <w:tcW w:w="5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CI</w:t>
            </w:r>
            <w:r>
              <w:rPr>
                <w:b/>
                <w:bCs/>
                <w:kern w:val="0"/>
                <w:sz w:val="22"/>
                <w:szCs w:val="24"/>
                <w:vertAlign w:val="subscript"/>
                <w:lang w:eastAsia="en-US" w:bidi="ar-SA"/>
              </w:rPr>
              <w:t>50</w:t>
            </w: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Concentración Inhibitoria Media</w:t>
            </w:r>
          </w:p>
        </w:tc>
      </w:tr>
      <w:tr>
        <w:trPr>
          <w:trHeight w:val="376" w:hRule="atLeast"/>
        </w:trPr>
        <w:tc>
          <w:tcPr>
            <w:tcW w:w="952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  <w:spacing w:val="1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16.2 Principales referencias bibliográficas y fuentes de datos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  <w:spacing w:val="1"/>
              </w:rPr>
            </w:pP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La presente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hoja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 seguridad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cumple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 con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la normativa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nacional vigente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  <w:spacing w:val="-45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Colombia: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NTC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445,</w:t>
            </w:r>
            <w:r>
              <w:rPr>
                <w:color w:themeColor="text1" w:val="000000"/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22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Julio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1998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color w:themeColor="text1" w:val="000000"/>
                <w:spacing w:val="-4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México: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NOM-018-STPS-2000.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  <w:spacing w:val="-1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Guatemala: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Código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Trabajo,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decreto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1441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Honduras: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Acuerdo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Ejecutivo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No.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STSS-053-04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  <w:spacing w:val="1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Costa</w:t>
            </w:r>
            <w:r>
              <w:rPr>
                <w:b/>
                <w:bCs/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Rica: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Decreto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N.º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28113-S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Panamá: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Resolución</w:t>
            </w:r>
            <w:r>
              <w:rPr>
                <w:color w:themeColor="text1" w:val="000000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#124,</w:t>
            </w:r>
            <w:r>
              <w:rPr>
                <w:color w:themeColor="text1" w:val="000000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20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marzo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2001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b/>
                <w:bCs/>
                <w:color w:themeColor="text1" w:val="000000"/>
                <w:w w:val="95"/>
                <w:kern w:val="0"/>
                <w:sz w:val="22"/>
                <w:szCs w:val="22"/>
                <w:lang w:eastAsia="en-US" w:bidi="ar-SA"/>
              </w:rPr>
              <w:t>Ecuador:</w:t>
            </w:r>
            <w:r>
              <w:rPr>
                <w:color w:themeColor="text1" w:val="000000"/>
                <w:spacing w:val="11"/>
                <w:w w:val="9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w w:val="95"/>
                <w:kern w:val="0"/>
                <w:sz w:val="22"/>
                <w:szCs w:val="22"/>
                <w:lang w:eastAsia="en-US" w:bidi="ar-SA"/>
              </w:rPr>
              <w:t>NTE</w:t>
            </w:r>
            <w:r>
              <w:rPr>
                <w:color w:themeColor="text1" w:val="000000"/>
                <w:spacing w:val="10"/>
                <w:w w:val="9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w w:val="95"/>
                <w:kern w:val="0"/>
                <w:sz w:val="22"/>
                <w:szCs w:val="22"/>
                <w:lang w:eastAsia="en-US" w:bidi="ar-SA"/>
              </w:rPr>
              <w:t>INEN</w:t>
            </w:r>
            <w:r>
              <w:rPr>
                <w:color w:themeColor="text1" w:val="000000"/>
                <w:spacing w:val="11"/>
                <w:w w:val="9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w w:val="95"/>
                <w:kern w:val="0"/>
                <w:sz w:val="22"/>
                <w:szCs w:val="22"/>
                <w:lang w:eastAsia="en-US" w:bidi="ar-SA"/>
              </w:rPr>
              <w:t>2</w:t>
            </w:r>
            <w:r>
              <w:rPr>
                <w:color w:themeColor="text1" w:val="000000"/>
                <w:spacing w:val="11"/>
                <w:w w:val="9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w w:val="95"/>
                <w:kern w:val="0"/>
                <w:sz w:val="22"/>
                <w:szCs w:val="22"/>
                <w:lang w:eastAsia="en-US" w:bidi="ar-SA"/>
              </w:rPr>
              <w:t>266:200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-Reglamento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(CE)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1272/2008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sobre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Clasiﬁcación,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etiquetado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envasado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las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sustancias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químicas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sus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mezclas,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sus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modiﬁcaciones.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-Reglamento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(CE)</w:t>
            </w:r>
            <w:r>
              <w:rPr>
                <w:color w:themeColor="text1" w:val="000000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1907/2006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relativo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registro,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evaluación,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autorización</w:t>
            </w:r>
            <w:r>
              <w:rPr>
                <w:color w:themeColor="text1" w:val="000000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color w:themeColor="text1" w:val="000000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restricción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las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sustancias</w:t>
            </w:r>
            <w:r>
              <w:rPr>
                <w:color w:themeColor="text1" w:val="000000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preparados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químicos</w:t>
            </w:r>
            <w:r>
              <w:rPr>
                <w:color w:themeColor="text1" w:val="000000"/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(REACH),</w:t>
            </w:r>
            <w:r>
              <w:rPr>
                <w:color w:themeColor="text1" w:val="000000"/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color w:themeColor="text1" w:val="000000"/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sus</w:t>
            </w:r>
            <w:r>
              <w:rPr>
                <w:color w:themeColor="text1" w:val="000000"/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modiﬁcaciones.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-Dir.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91/689/CEE</w:t>
            </w:r>
            <w:r>
              <w:rPr>
                <w:color w:themeColor="text1" w:val="000000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residuos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peligrosos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color w:themeColor="text1" w:val="000000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Dir.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91/156/CEE</w:t>
            </w:r>
            <w:r>
              <w:rPr>
                <w:color w:themeColor="text1" w:val="000000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gestión</w:t>
            </w:r>
            <w:r>
              <w:rPr>
                <w:color w:themeColor="text1" w:val="000000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residuos.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  <w:spacing w:val="2"/>
              </w:rPr>
            </w:pP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-Acuerdo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europeo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sobre</w:t>
            </w:r>
            <w:r>
              <w:rPr>
                <w:color w:themeColor="text1" w:val="000000"/>
                <w:spacing w:val="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Transporte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Internacional</w:t>
            </w:r>
            <w:r>
              <w:rPr>
                <w:color w:themeColor="text1" w:val="000000"/>
                <w:spacing w:val="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Mercancías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peligrosas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carretera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(ADR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2015).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  <w:spacing w:val="2"/>
              </w:rPr>
            </w:pP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>-Re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glamento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relativo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Transporte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Internacional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Mercancías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Peligrosas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Ferrocarril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(RID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2015).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>-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Código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Marítimo</w:t>
            </w:r>
            <w:r>
              <w:rPr>
                <w:color w:themeColor="text1" w:val="000000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Internacional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Mercancías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Peligrosas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(IMDG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34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ed.),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IMO,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Resolución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MSC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90/28/Add.2.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Código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IBC/MARPOL,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IMO,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Resolución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MEPC</w:t>
            </w:r>
            <w:r>
              <w:rPr>
                <w:color w:themeColor="text1" w:val="000000"/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64/23/Add.1.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-Regulaciones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Asociación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Transporte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Aéreo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Internacional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(IATA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56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ed.,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2015)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relativas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transporte</w:t>
            </w:r>
            <w:r>
              <w:rPr>
                <w:color w:themeColor="text1" w:val="000000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mercancías</w:t>
            </w:r>
            <w:r>
              <w:rPr>
                <w:color w:themeColor="text1" w:val="000000"/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peligrosas</w:t>
            </w:r>
            <w:r>
              <w:rPr>
                <w:color w:themeColor="text1" w:val="000000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color w:themeColor="text1" w:val="000000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vía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aérea.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-International</w:t>
            </w:r>
            <w:r>
              <w:rPr>
                <w:color w:themeColor="text1" w:val="000000"/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Agency</w:t>
            </w:r>
            <w:r>
              <w:rPr>
                <w:color w:themeColor="text1" w:val="000000"/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for</w:t>
            </w:r>
            <w:r>
              <w:rPr>
                <w:color w:themeColor="text1" w:val="000000"/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Research</w:t>
            </w:r>
            <w:r>
              <w:rPr>
                <w:color w:themeColor="text1" w:val="000000"/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on</w:t>
            </w:r>
            <w:r>
              <w:rPr>
                <w:color w:themeColor="text1" w:val="000000"/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Cáncer</w:t>
            </w:r>
            <w:r>
              <w:rPr>
                <w:color w:themeColor="text1" w:val="000000"/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(IARC),</w:t>
            </w:r>
            <w:r>
              <w:rPr>
                <w:color w:themeColor="text1" w:val="000000"/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clasiﬁcación</w:t>
            </w:r>
            <w:r>
              <w:rPr>
                <w:color w:themeColor="text1" w:val="000000"/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color w:themeColor="text1" w:val="000000"/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carcinógenos.</w:t>
            </w:r>
            <w:r>
              <w:rPr>
                <w:color w:themeColor="text1" w:val="000000"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spacing w:val="-1"/>
                <w:kern w:val="0"/>
                <w:sz w:val="22"/>
                <w:szCs w:val="22"/>
                <w:lang w:eastAsia="en-US" w:bidi="ar-SA"/>
              </w:rPr>
              <w:t>Revisión:</w:t>
            </w:r>
            <w:r>
              <w:rPr>
                <w:color w:themeColor="text1" w:val="000000"/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  <w:t>23/03/2015.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6" w:hRule="atLeast"/>
        </w:trPr>
        <w:tc>
          <w:tcPr>
            <w:tcW w:w="952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themeColor="text1" w:val="000000"/>
              </w:rPr>
            </w:pPr>
            <w:r>
              <w:rPr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Escala de riesgos de la NFPA 704: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clasificado por NFPA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                          </w:t>
            </w: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974090" cy="748665"/>
                  <wp:effectExtent l="0" t="0" r="0" b="0"/>
                  <wp:docPr id="5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090" cy="748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             </w:t>
            </w:r>
            <w:r>
              <w:rPr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853440" cy="853440"/>
                  <wp:effectExtent l="0" t="0" r="0" b="0"/>
                  <wp:docPr id="6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10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5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0: NO RIESGOSO                                 SALUD: 1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1: LIGERO                                             INFLAMABILIDAD: 0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2: MODERADO                                    REACTIVIDAD: 0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3: ALTO                                                 OTRO: NINGUNO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4: SEVERO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Clase UN (Naciones Unidas):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themeColor="text1" w:val="000000"/>
                <w:w w:val="105"/>
                <w:sz w:val="18"/>
              </w:rPr>
            </w:pPr>
            <w:r>
              <w:rPr>
                <w:rFonts w:ascii="Arial" w:hAnsi="Arial"/>
                <w:color w:themeColor="text1" w:val="000000"/>
                <w:w w:val="105"/>
                <w:kern w:val="0"/>
                <w:sz w:val="18"/>
                <w:szCs w:val="22"/>
                <w:lang w:eastAsia="en-US" w:bidi="ar-SA"/>
              </w:rPr>
            </w:r>
          </w:p>
        </w:tc>
      </w:tr>
      <w:tr>
        <w:trPr>
          <w:trHeight w:val="376" w:hRule="atLeast"/>
        </w:trPr>
        <w:tc>
          <w:tcPr>
            <w:tcW w:w="952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16.3 exención de responsabilidad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color w:val="59595C"/>
              </w:rPr>
            </w:pPr>
            <w:r>
              <w:rPr>
                <w:rFonts w:cs="Calibri" w:cstheme="minorHAnsi"/>
                <w:b/>
                <w:color w:val="59595C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6" w:hRule="atLeast"/>
        </w:trPr>
        <w:tc>
          <w:tcPr>
            <w:tcW w:w="952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color w:val="59595C"/>
              </w:rPr>
            </w:pPr>
            <w:r>
              <w:rPr>
                <w:b/>
                <w:bCs/>
                <w:color w:themeColor="text1" w:val="000000"/>
                <w:kern w:val="0"/>
                <w:sz w:val="18"/>
                <w:szCs w:val="18"/>
                <w:lang w:eastAsia="en-US" w:bidi="ar-SA"/>
              </w:rPr>
              <w:t xml:space="preserve">Diciembre 21 de 2022: Se crea la Hoja de seguridad </w:t>
            </w: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PRODUCCION 17</w:t>
            </w:r>
            <w:r>
              <w:rPr>
                <w:b/>
                <w:bCs/>
                <w:color w:themeColor="text1" w:val="000000"/>
                <w:kern w:val="0"/>
                <w:sz w:val="18"/>
                <w:szCs w:val="18"/>
                <w:lang w:eastAsia="en-US" w:bidi="ar-SA"/>
              </w:rPr>
              <w:t xml:space="preserve"> según el Sistema Globalmente Armonizado.</w:t>
            </w:r>
          </w:p>
        </w:tc>
      </w:tr>
    </w:tbl>
    <w:p>
      <w:pPr>
        <w:pStyle w:val="Normal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</w:rPr>
      </w:r>
    </w:p>
    <w:p>
      <w:pPr>
        <w:pStyle w:val="Normal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</w:rPr>
      </w:r>
    </w:p>
    <w:p>
      <w:pPr>
        <w:pStyle w:val="Normal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</w:rPr>
      </w:r>
    </w:p>
    <w:p>
      <w:pPr>
        <w:pStyle w:val="Normal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</w:rPr>
      </w:r>
    </w:p>
    <w:p>
      <w:pPr>
        <w:pStyle w:val="Normal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</w:rPr>
      </w:r>
    </w:p>
    <w:p>
      <w:pPr>
        <w:pStyle w:val="Normal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</w:rPr>
      </w:r>
    </w:p>
    <w:p>
      <w:pPr>
        <w:pStyle w:val="Normal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</w:rPr>
      </w:r>
    </w:p>
    <w:p>
      <w:pPr>
        <w:pStyle w:val="Normal"/>
        <w:rPr/>
      </w:pPr>
      <w:r>
        <w:rPr/>
      </w:r>
    </w:p>
    <w:sectPr>
      <w:headerReference w:type="even" r:id="rId8"/>
      <w:headerReference w:type="default" r:id="rId9"/>
      <w:headerReference w:type="first" r:id="rId10"/>
      <w:type w:val="nextPage"/>
      <w:pgSz w:w="12240" w:h="15840"/>
      <w:pgMar w:left="1100" w:right="1340" w:gutter="0" w:header="1220" w:top="28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tbl>
    <w:tblPr>
      <w:tblStyle w:val="TableNormal"/>
      <w:tblW w:w="9492" w:type="dxa"/>
      <w:jc w:val="start"/>
      <w:tblInd w:w="157" w:type="dxa"/>
      <w:tblLayout w:type="fixed"/>
      <w:tblCellMar>
        <w:top w:w="0" w:type="dxa"/>
        <w:start w:w="15" w:type="dxa"/>
        <w:bottom w:w="0" w:type="dxa"/>
        <w:end w:w="15" w:type="dxa"/>
      </w:tblCellMar>
      <w:tblLook w:val="01e0" w:noHBand="0" w:noVBand="0" w:firstColumn="1" w:lastRow="1" w:lastColumn="1" w:firstRow="1"/>
    </w:tblPr>
    <w:tblGrid>
      <w:gridCol w:w="3037"/>
      <w:gridCol w:w="6455"/>
    </w:tblGrid>
    <w:tr>
      <w:trPr>
        <w:trHeight w:val="1216" w:hRule="atLeast"/>
      </w:trPr>
      <w:tc>
        <w:tcPr>
          <w:tcW w:w="3037" w:type="dxa"/>
          <w:tcBorders>
            <w:top w:val="single" w:sz="18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kern w:val="0"/>
              <w:sz w:val="20"/>
              <w:szCs w:val="22"/>
              <w:lang w:eastAsia="en-US" w:bidi="ar-SA"/>
            </w:rPr>
            <mc:AlternateContent>
              <mc:Choice Requires="wps">
                <w:drawing>
                  <wp:anchor distT="0" distB="9525" distL="0" distR="9525" simplePos="0" relativeHeight="16" behindDoc="1" locked="0" layoutInCell="1" allowOverlap="1" wp14:anchorId="0E7D5E17">
                    <wp:simplePos x="0" y="0"/>
                    <wp:positionH relativeFrom="page">
                      <wp:posOffset>41910</wp:posOffset>
                    </wp:positionH>
                    <wp:positionV relativeFrom="paragraph">
                      <wp:posOffset>9525</wp:posOffset>
                    </wp:positionV>
                    <wp:extent cx="1533525" cy="771525"/>
                    <wp:effectExtent l="0" t="0" r="0" b="0"/>
                    <wp:wrapNone/>
                    <wp:docPr id="1" name="Imagen 1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Imagen 1"/>
                            <pic:cNvPicPr/>
                          </pic:nvPicPr>
                          <pic:blipFill>
                            <a:blip r:embed="rId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 l="3588" t="0" r="0" b="0"/>
                            <a:stretch/>
                          </pic:blipFill>
                          <pic:spPr>
                            <a:xfrm>
                              <a:off x="0" y="0"/>
                              <a:ext cx="1533600" cy="771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t" style="position:absolute;margin-left:3.3pt;margin-top:0.75pt;width:120.7pt;height:60.7pt;mso-wrap-style:none;v-text-anchor:middle;mso-position-horizontal-relative:page" wp14:anchorId="0E7D5E17" type="_x0000_t75">
                    <v:imagedata r:id="rId3" o:detectmouseclick="t"/>
                    <v:stroke color="#3465a4" joinstyle="round" endcap="flat"/>
                    <w10:wrap type="none"/>
                  </v:shape>
                </w:pict>
              </mc:Fallback>
            </mc:AlternateConten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10"/>
            </w:rPr>
          </w:pPr>
          <w:r>
            <w:rPr>
              <w:rFonts w:ascii="Times New Roman" w:hAnsi="Times New Roman"/>
              <w:kern w:val="0"/>
              <w:sz w:val="10"/>
              <w:szCs w:val="22"/>
              <w:lang w:eastAsia="en-US" w:bidi="ar-SA"/>
            </w:rPr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kern w:val="0"/>
              <w:sz w:val="20"/>
              <w:szCs w:val="22"/>
              <w:lang w:eastAsia="en-US" w:bidi="ar-SA"/>
            </w:rPr>
          </w:r>
        </w:p>
      </w:tc>
      <w:tc>
        <w:tcPr>
          <w:tcW w:w="6455" w:type="dxa"/>
          <w:tcBorders>
            <w:top w:val="single" w:sz="18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36"/>
            </w:rPr>
          </w:pPr>
          <w:r>
            <w:rPr>
              <w:rFonts w:ascii="Times New Roman" w:hAnsi="Times New Roman"/>
              <w:kern w:val="0"/>
              <w:sz w:val="36"/>
              <w:szCs w:val="22"/>
              <w:lang w:eastAsia="en-US" w:bidi="ar-SA"/>
            </w:rPr>
          </w:r>
        </w:p>
        <w:p>
          <w:pPr>
            <w:pStyle w:val="Normal"/>
            <w:widowControl w:val="false"/>
            <w:spacing w:before="0" w:after="0"/>
            <w:jc w:val="start"/>
            <w:rPr>
              <w:b/>
              <w:bCs/>
              <w:sz w:val="48"/>
              <w:szCs w:val="48"/>
            </w:rPr>
          </w:pPr>
          <w:r>
            <w:rPr>
              <w:kern w:val="0"/>
              <w:sz w:val="36"/>
              <w:szCs w:val="22"/>
              <w:lang w:eastAsia="en-US" w:bidi="ar-SA"/>
            </w:rPr>
            <w:t xml:space="preserve">                 </w:t>
          </w:r>
          <w:r>
            <w:rPr>
              <w:b/>
              <w:bCs/>
              <w:kern w:val="0"/>
              <w:sz w:val="48"/>
              <w:szCs w:val="48"/>
              <w:lang w:eastAsia="en-US" w:bidi="ar-SA"/>
            </w:rPr>
            <w:t>PRODUCCION 17</w:t>
          </w:r>
        </w:p>
      </w:tc>
    </w:tr>
    <w:tr>
      <w:trPr>
        <w:trHeight w:val="367" w:hRule="atLeast"/>
      </w:trPr>
      <w:tc>
        <w:tcPr>
          <w:tcW w:w="9492" w:type="dxa"/>
          <w:gridSpan w:val="2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center"/>
            <w:rPr>
              <w:b/>
              <w:sz w:val="32"/>
              <w:szCs w:val="32"/>
            </w:rPr>
          </w:pPr>
          <w:r>
            <w:rPr>
              <w:b/>
              <w:kern w:val="0"/>
              <w:sz w:val="32"/>
              <w:szCs w:val="32"/>
              <w:lang w:eastAsia="en-US" w:bidi="ar-SA"/>
            </w:rPr>
            <w:t>HOJA DE SEGURIDAD</w:t>
          </w:r>
        </w:p>
      </w:tc>
    </w:tr>
  </w:tbl>
  <w:p>
    <w:pPr>
      <w:pStyle w:val="Normal"/>
      <w:spacing w:lineRule="auto" w:line="14"/>
      <w:rPr>
        <w:sz w:val="2"/>
      </w:rPr>
    </w:pPr>
    <w:r>
      <w:rPr>
        <w:sz w:val="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p>
    <w:pPr>
      <w:pStyle w:val="Normal"/>
      <w:spacing w:lineRule="auto" w:line="14"/>
      <w:rPr>
        <w:sz w:val="2"/>
      </w:rPr>
    </w:pPr>
    <w:r>
      <w:rPr>
        <w:sz w:val="2"/>
      </w:rPr>
    </w:r>
  </w:p>
  <w:tbl>
    <w:tblPr>
      <w:tblStyle w:val="TableNormal"/>
      <w:tblW w:w="9492" w:type="dxa"/>
      <w:jc w:val="start"/>
      <w:tblInd w:w="157" w:type="dxa"/>
      <w:tblLayout w:type="fixed"/>
      <w:tblCellMar>
        <w:top w:w="0" w:type="dxa"/>
        <w:start w:w="15" w:type="dxa"/>
        <w:bottom w:w="0" w:type="dxa"/>
        <w:end w:w="15" w:type="dxa"/>
      </w:tblCellMar>
      <w:tblLook w:val="01e0" w:noHBand="0" w:noVBand="0" w:firstColumn="1" w:lastRow="1" w:lastColumn="1" w:firstRow="1"/>
    </w:tblPr>
    <w:tblGrid>
      <w:gridCol w:w="3037"/>
      <w:gridCol w:w="6455"/>
    </w:tblGrid>
    <w:tr>
      <w:trPr>
        <w:trHeight w:val="1216" w:hRule="atLeast"/>
      </w:trPr>
      <w:tc>
        <w:tcPr>
          <w:tcW w:w="3037" w:type="dxa"/>
          <w:tcBorders>
            <w:top w:val="single" w:sz="18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kern w:val="0"/>
              <w:sz w:val="20"/>
              <w:szCs w:val="22"/>
              <w:lang w:eastAsia="en-US" w:bidi="ar-SA"/>
            </w:rPr>
            <mc:AlternateContent>
              <mc:Choice Requires="wps">
                <w:drawing>
                  <wp:anchor distT="0" distB="9525" distL="0" distR="9525" simplePos="0" relativeHeight="16" behindDoc="1" locked="0" layoutInCell="1" allowOverlap="1" wp14:anchorId="0E7D5E17">
                    <wp:simplePos x="0" y="0"/>
                    <wp:positionH relativeFrom="page">
                      <wp:posOffset>41910</wp:posOffset>
                    </wp:positionH>
                    <wp:positionV relativeFrom="paragraph">
                      <wp:posOffset>9525</wp:posOffset>
                    </wp:positionV>
                    <wp:extent cx="1533525" cy="771525"/>
                    <wp:effectExtent l="0" t="0" r="0" b="0"/>
                    <wp:wrapNone/>
                    <wp:docPr id="3" name="Imagen 1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Imagen 1"/>
                            <pic:cNvPicPr/>
                          </pic:nvPicPr>
                          <pic:blipFill>
                            <a:blip r:embed="rId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 l="3588" t="0" r="0" b="0"/>
                            <a:stretch/>
                          </pic:blipFill>
                          <pic:spPr>
                            <a:xfrm>
                              <a:off x="0" y="0"/>
                              <a:ext cx="1533600" cy="771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 id="shape_0" stroked="f" o:allowincell="t" style="position:absolute;margin-left:3.3pt;margin-top:0.75pt;width:120.7pt;height:60.7pt;mso-wrap-style:none;v-text-anchor:middle;mso-position-horizontal-relative:page" wp14:anchorId="0E7D5E17" type="_x0000_t75">
                    <v:imagedata r:id="rId2" o:detectmouseclick="t"/>
                    <v:stroke color="#3465a4" joinstyle="round" endcap="flat"/>
                    <w10:wrap type="none"/>
                  </v:shape>
                </w:pict>
              </mc:Fallback>
            </mc:AlternateConten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10"/>
            </w:rPr>
          </w:pPr>
          <w:r>
            <w:rPr>
              <w:rFonts w:ascii="Times New Roman" w:hAnsi="Times New Roman"/>
              <w:kern w:val="0"/>
              <w:sz w:val="10"/>
              <w:szCs w:val="22"/>
              <w:lang w:eastAsia="en-US" w:bidi="ar-SA"/>
            </w:rPr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kern w:val="0"/>
              <w:sz w:val="20"/>
              <w:szCs w:val="22"/>
              <w:lang w:eastAsia="en-US" w:bidi="ar-SA"/>
            </w:rPr>
          </w:r>
        </w:p>
      </w:tc>
      <w:tc>
        <w:tcPr>
          <w:tcW w:w="6455" w:type="dxa"/>
          <w:tcBorders>
            <w:top w:val="single" w:sz="18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36"/>
            </w:rPr>
          </w:pPr>
          <w:r>
            <w:rPr>
              <w:rFonts w:ascii="Times New Roman" w:hAnsi="Times New Roman"/>
              <w:kern w:val="0"/>
              <w:sz w:val="36"/>
              <w:szCs w:val="22"/>
              <w:lang w:eastAsia="en-US" w:bidi="ar-SA"/>
            </w:rPr>
          </w:r>
        </w:p>
        <w:p>
          <w:pPr>
            <w:pStyle w:val="Normal"/>
            <w:widowControl w:val="false"/>
            <w:spacing w:before="0" w:after="0"/>
            <w:jc w:val="start"/>
            <w:rPr>
              <w:b/>
              <w:bCs/>
              <w:sz w:val="48"/>
              <w:szCs w:val="48"/>
            </w:rPr>
          </w:pPr>
          <w:r>
            <w:rPr>
              <w:kern w:val="0"/>
              <w:sz w:val="36"/>
              <w:szCs w:val="22"/>
              <w:lang w:eastAsia="en-US" w:bidi="ar-SA"/>
            </w:rPr>
            <w:t xml:space="preserve">                 </w:t>
          </w:r>
          <w:r>
            <w:rPr>
              <w:b/>
              <w:bCs/>
              <w:kern w:val="0"/>
              <w:sz w:val="48"/>
              <w:szCs w:val="48"/>
              <w:lang w:eastAsia="en-US" w:bidi="ar-SA"/>
            </w:rPr>
            <w:t>PRODUCCION 17</w:t>
          </w:r>
        </w:p>
      </w:tc>
    </w:tr>
    <w:tr>
      <w:trPr>
        <w:trHeight w:val="367" w:hRule="atLeast"/>
      </w:trPr>
      <w:tc>
        <w:tcPr>
          <w:tcW w:w="9492" w:type="dxa"/>
          <w:gridSpan w:val="2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center"/>
            <w:rPr>
              <w:b/>
              <w:sz w:val="32"/>
              <w:szCs w:val="32"/>
            </w:rPr>
          </w:pPr>
          <w:r>
            <w:rPr>
              <w:b/>
              <w:kern w:val="0"/>
              <w:sz w:val="32"/>
              <w:szCs w:val="32"/>
              <w:lang w:eastAsia="en-US" w:bidi="ar-SA"/>
            </w:rPr>
            <w:t>HOJA DE SEGURIDAD</w:t>
          </w:r>
        </w:p>
      </w:tc>
    </w:tr>
  </w:tbl>
  <w:p>
    <w:pPr>
      <w:pStyle w:val="Normal"/>
      <w:spacing w:lineRule="auto" w:line="14"/>
      <w:rPr>
        <w:sz w:val="2"/>
      </w:rPr>
    </w:pPr>
    <w:r>
      <w:rPr>
        <w:sz w:val="2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492" w:type="dxa"/>
      <w:jc w:val="start"/>
      <w:tblInd w:w="157" w:type="dxa"/>
      <w:tblLayout w:type="fixed"/>
      <w:tblCellMar>
        <w:top w:w="0" w:type="dxa"/>
        <w:start w:w="15" w:type="dxa"/>
        <w:bottom w:w="0" w:type="dxa"/>
        <w:end w:w="15" w:type="dxa"/>
      </w:tblCellMar>
      <w:tblLook w:val="01e0" w:noHBand="0" w:noVBand="0" w:firstColumn="1" w:lastRow="1" w:lastColumn="1" w:firstRow="1"/>
    </w:tblPr>
    <w:tblGrid>
      <w:gridCol w:w="3037"/>
      <w:gridCol w:w="6455"/>
    </w:tblGrid>
    <w:tr>
      <w:trPr>
        <w:trHeight w:val="1216" w:hRule="atLeast"/>
      </w:trPr>
      <w:tc>
        <w:tcPr>
          <w:tcW w:w="3037" w:type="dxa"/>
          <w:tcBorders>
            <w:top w:val="single" w:sz="18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kern w:val="0"/>
              <w:sz w:val="20"/>
              <w:szCs w:val="22"/>
              <w:lang w:eastAsia="en-US" w:bidi="ar-SA"/>
            </w:rPr>
            <mc:AlternateContent>
              <mc:Choice Requires="wps">
                <w:drawing>
                  <wp:anchor distT="0" distB="9525" distL="0" distR="9525" simplePos="0" relativeHeight="12" behindDoc="1" locked="0" layoutInCell="1" allowOverlap="1" wp14:anchorId="5A4C28D4">
                    <wp:simplePos x="0" y="0"/>
                    <wp:positionH relativeFrom="page">
                      <wp:posOffset>41910</wp:posOffset>
                    </wp:positionH>
                    <wp:positionV relativeFrom="paragraph">
                      <wp:posOffset>9525</wp:posOffset>
                    </wp:positionV>
                    <wp:extent cx="1533525" cy="771525"/>
                    <wp:effectExtent l="0" t="0" r="0" b="0"/>
                    <wp:wrapNone/>
                    <wp:docPr id="7" name="Imagen 11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" name="Imagen 11"/>
                            <pic:cNvPicPr/>
                          </pic:nvPicPr>
                          <pic:blipFill>
                            <a:blip r:embed="rId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 l="3588" t="0" r="0" b="0"/>
                            <a:stretch/>
                          </pic:blipFill>
                          <pic:spPr>
                            <a:xfrm>
                              <a:off x="0" y="0"/>
                              <a:ext cx="1533600" cy="771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 id="shape_0" stroked="f" o:allowincell="t" style="position:absolute;margin-left:3.3pt;margin-top:0.75pt;width:120.7pt;height:60.7pt;mso-wrap-style:none;v-text-anchor:middle;mso-position-horizontal-relative:page" wp14:anchorId="5A4C28D4" type="_x0000_t75">
                    <v:imagedata r:id="rId2" o:detectmouseclick="t"/>
                    <v:stroke color="#3465a4" joinstyle="round" endcap="flat"/>
                    <w10:wrap type="none"/>
                  </v:shape>
                </w:pict>
              </mc:Fallback>
            </mc:AlternateConten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10"/>
            </w:rPr>
          </w:pPr>
          <w:r>
            <w:rPr>
              <w:rFonts w:ascii="Times New Roman" w:hAnsi="Times New Roman"/>
              <w:kern w:val="0"/>
              <w:sz w:val="10"/>
              <w:szCs w:val="22"/>
              <w:lang w:eastAsia="en-US" w:bidi="ar-SA"/>
            </w:rPr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kern w:val="0"/>
              <w:sz w:val="20"/>
              <w:szCs w:val="22"/>
              <w:lang w:eastAsia="en-US" w:bidi="ar-SA"/>
            </w:rPr>
          </w:r>
        </w:p>
      </w:tc>
      <w:tc>
        <w:tcPr>
          <w:tcW w:w="6455" w:type="dxa"/>
          <w:tcBorders>
            <w:top w:val="single" w:sz="18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36"/>
            </w:rPr>
          </w:pPr>
          <w:r>
            <w:rPr>
              <w:rFonts w:ascii="Times New Roman" w:hAnsi="Times New Roman"/>
              <w:kern w:val="0"/>
              <w:sz w:val="36"/>
              <w:szCs w:val="22"/>
              <w:lang w:eastAsia="en-US" w:bidi="ar-SA"/>
            </w:rPr>
          </w:r>
        </w:p>
        <w:p>
          <w:pPr>
            <w:pStyle w:val="Normal"/>
            <w:widowControl w:val="false"/>
            <w:spacing w:before="0" w:after="0"/>
            <w:jc w:val="start"/>
            <w:rPr>
              <w:b/>
              <w:bCs/>
              <w:sz w:val="48"/>
              <w:szCs w:val="48"/>
            </w:rPr>
          </w:pPr>
          <w:r>
            <w:rPr>
              <w:kern w:val="0"/>
              <w:sz w:val="36"/>
              <w:szCs w:val="22"/>
              <w:lang w:eastAsia="en-US" w:bidi="ar-SA"/>
            </w:rPr>
            <w:t xml:space="preserve">                 </w:t>
          </w:r>
          <w:r>
            <w:rPr>
              <w:b/>
              <w:bCs/>
              <w:kern w:val="0"/>
              <w:sz w:val="48"/>
              <w:szCs w:val="48"/>
              <w:lang w:eastAsia="en-US" w:bidi="ar-SA"/>
            </w:rPr>
            <w:t>PRODUCCION 17</w:t>
          </w:r>
        </w:p>
      </w:tc>
    </w:tr>
    <w:tr>
      <w:trPr>
        <w:trHeight w:val="367" w:hRule="atLeast"/>
      </w:trPr>
      <w:tc>
        <w:tcPr>
          <w:tcW w:w="9492" w:type="dxa"/>
          <w:gridSpan w:val="2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center"/>
            <w:rPr>
              <w:b/>
              <w:sz w:val="32"/>
              <w:szCs w:val="32"/>
            </w:rPr>
          </w:pPr>
          <w:r>
            <w:rPr>
              <w:b/>
              <w:kern w:val="0"/>
              <w:sz w:val="32"/>
              <w:szCs w:val="32"/>
              <w:lang w:eastAsia="en-US" w:bidi="ar-SA"/>
            </w:rPr>
            <w:t>HOJA DE SEGURIDAD</w:t>
          </w:r>
        </w:p>
      </w:tc>
    </w:tr>
  </w:tbl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492" w:type="dxa"/>
      <w:jc w:val="start"/>
      <w:tblInd w:w="157" w:type="dxa"/>
      <w:tblLayout w:type="fixed"/>
      <w:tblCellMar>
        <w:top w:w="0" w:type="dxa"/>
        <w:start w:w="15" w:type="dxa"/>
        <w:bottom w:w="0" w:type="dxa"/>
        <w:end w:w="15" w:type="dxa"/>
      </w:tblCellMar>
      <w:tblLook w:val="01e0" w:noHBand="0" w:noVBand="0" w:firstColumn="1" w:lastRow="1" w:lastColumn="1" w:firstRow="1"/>
    </w:tblPr>
    <w:tblGrid>
      <w:gridCol w:w="3037"/>
      <w:gridCol w:w="6455"/>
    </w:tblGrid>
    <w:tr>
      <w:trPr>
        <w:trHeight w:val="1216" w:hRule="atLeast"/>
      </w:trPr>
      <w:tc>
        <w:tcPr>
          <w:tcW w:w="3037" w:type="dxa"/>
          <w:tcBorders>
            <w:top w:val="single" w:sz="18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kern w:val="0"/>
              <w:sz w:val="20"/>
              <w:szCs w:val="22"/>
              <w:lang w:eastAsia="en-US" w:bidi="ar-SA"/>
            </w:rPr>
            <mc:AlternateContent>
              <mc:Choice Requires="wps">
                <w:drawing>
                  <wp:anchor distT="0" distB="9525" distL="0" distR="9525" simplePos="0" relativeHeight="12" behindDoc="1" locked="0" layoutInCell="1" allowOverlap="1" wp14:anchorId="5A4C28D4">
                    <wp:simplePos x="0" y="0"/>
                    <wp:positionH relativeFrom="page">
                      <wp:posOffset>41910</wp:posOffset>
                    </wp:positionH>
                    <wp:positionV relativeFrom="paragraph">
                      <wp:posOffset>9525</wp:posOffset>
                    </wp:positionV>
                    <wp:extent cx="1533525" cy="771525"/>
                    <wp:effectExtent l="0" t="0" r="0" b="0"/>
                    <wp:wrapNone/>
                    <wp:docPr id="9" name="Imagen 11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" name="Imagen 11"/>
                            <pic:cNvPicPr/>
                          </pic:nvPicPr>
                          <pic:blipFill>
                            <a:blip r:embed="rId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 l="3588" t="0" r="0" b="0"/>
                            <a:stretch/>
                          </pic:blipFill>
                          <pic:spPr>
                            <a:xfrm>
                              <a:off x="0" y="0"/>
                              <a:ext cx="1533600" cy="771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 id="shape_0" stroked="f" o:allowincell="t" style="position:absolute;margin-left:3.3pt;margin-top:0.75pt;width:120.7pt;height:60.7pt;mso-wrap-style:none;v-text-anchor:middle;mso-position-horizontal-relative:page" wp14:anchorId="5A4C28D4" type="_x0000_t75">
                    <v:imagedata r:id="rId2" o:detectmouseclick="t"/>
                    <v:stroke color="#3465a4" joinstyle="round" endcap="flat"/>
                    <w10:wrap type="none"/>
                  </v:shape>
                </w:pict>
              </mc:Fallback>
            </mc:AlternateConten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10"/>
            </w:rPr>
          </w:pPr>
          <w:r>
            <w:rPr>
              <w:rFonts w:ascii="Times New Roman" w:hAnsi="Times New Roman"/>
              <w:kern w:val="0"/>
              <w:sz w:val="10"/>
              <w:szCs w:val="22"/>
              <w:lang w:eastAsia="en-US" w:bidi="ar-SA"/>
            </w:rPr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kern w:val="0"/>
              <w:sz w:val="20"/>
              <w:szCs w:val="22"/>
              <w:lang w:eastAsia="en-US" w:bidi="ar-SA"/>
            </w:rPr>
          </w:r>
        </w:p>
      </w:tc>
      <w:tc>
        <w:tcPr>
          <w:tcW w:w="6455" w:type="dxa"/>
          <w:tcBorders>
            <w:top w:val="single" w:sz="18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Times New Roman" w:hAnsi="Times New Roman"/>
              <w:sz w:val="36"/>
            </w:rPr>
          </w:pPr>
          <w:r>
            <w:rPr>
              <w:rFonts w:ascii="Times New Roman" w:hAnsi="Times New Roman"/>
              <w:kern w:val="0"/>
              <w:sz w:val="36"/>
              <w:szCs w:val="22"/>
              <w:lang w:eastAsia="en-US" w:bidi="ar-SA"/>
            </w:rPr>
          </w:r>
        </w:p>
        <w:p>
          <w:pPr>
            <w:pStyle w:val="Normal"/>
            <w:widowControl w:val="false"/>
            <w:spacing w:before="0" w:after="0"/>
            <w:jc w:val="start"/>
            <w:rPr>
              <w:b/>
              <w:bCs/>
              <w:sz w:val="48"/>
              <w:szCs w:val="48"/>
            </w:rPr>
          </w:pPr>
          <w:r>
            <w:rPr>
              <w:kern w:val="0"/>
              <w:sz w:val="36"/>
              <w:szCs w:val="22"/>
              <w:lang w:eastAsia="en-US" w:bidi="ar-SA"/>
            </w:rPr>
            <w:t xml:space="preserve">                 </w:t>
          </w:r>
          <w:r>
            <w:rPr>
              <w:b/>
              <w:bCs/>
              <w:kern w:val="0"/>
              <w:sz w:val="48"/>
              <w:szCs w:val="48"/>
              <w:lang w:eastAsia="en-US" w:bidi="ar-SA"/>
            </w:rPr>
            <w:t>PRODUCCION 17</w:t>
          </w:r>
        </w:p>
      </w:tc>
    </w:tr>
    <w:tr>
      <w:trPr>
        <w:trHeight w:val="367" w:hRule="atLeast"/>
      </w:trPr>
      <w:tc>
        <w:tcPr>
          <w:tcW w:w="9492" w:type="dxa"/>
          <w:gridSpan w:val="2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widowControl w:val="false"/>
            <w:spacing w:before="0" w:after="0"/>
            <w:jc w:val="center"/>
            <w:rPr>
              <w:b/>
              <w:sz w:val="32"/>
              <w:szCs w:val="32"/>
            </w:rPr>
          </w:pPr>
          <w:r>
            <w:rPr>
              <w:b/>
              <w:kern w:val="0"/>
              <w:sz w:val="32"/>
              <w:szCs w:val="32"/>
              <w:lang w:eastAsia="en-US" w:bidi="ar-SA"/>
            </w:rPr>
            <w:t>HOJA DE SEGURIDAD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7fb0"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fd13cf"/>
    <w:rPr>
      <w:rFonts w:ascii="Calibri" w:hAnsi="Calibri" w:eastAsia="Calibri" w:cs="Calibri"/>
      <w:lang w:val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fd13cf"/>
    <w:rPr>
      <w:rFonts w:ascii="Calibri" w:hAnsi="Calibri" w:eastAsia="Calibri" w:cs="Calibri"/>
      <w:lang w:val="es-ES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start="42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fd13cf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fd13cf"/>
    <w:pPr>
      <w:tabs>
        <w:tab w:val="clear" w:pos="720"/>
        <w:tab w:val="center" w:pos="4419" w:leader="none"/>
        <w:tab w:val="right" w:pos="8838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orejula@calferquim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microsoft.com/office/2007/relationships/hdphoto" Target="media/hdphoto1.wdp"/><Relationship Id="rId3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2690</TotalTime>
  <Application>LibreOffice/26.2.1.2$Linux_X86_64 LibreOffice_project/620$Build-2</Application>
  <AppVersion>15.0000</AppVersion>
  <Pages>13</Pages>
  <Words>3754</Words>
  <Characters>21434</Characters>
  <CharactersWithSpaces>25237</CharactersWithSpaces>
  <Paragraphs>377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2022-12-15T19:16:00Z</dcterms:created>
  <dc:creator>LENOVO</dc:creator>
  <dc:description/>
  <dc:language>en-US</dc:language>
  <cp:lastModifiedBy/>
  <dcterms:modified xsi:type="dcterms:W3CDTF">2026-03-25T14:52:56Z</dcterms:modified>
  <cp:revision>228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