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80"/>
              <w:bottom w:type="dxa" w:w="200"/>
              <w:right w:type="dxa" w:w="280"/>
            </w:tcMar>
          </w:tcPr>
          <w:p>
            <w:pPr>
              <w:jc w:val="left"/>
            </w:pPr>
            <w:r>
              <w:rPr>
                <w:rFonts w:ascii="Arial" w:cs="Arial" w:eastAsia="Arial" w:hAnsi="Arial"/>
                <w:b/>
                <w:bCs/>
                <w:color w:val="FFFFFF"/>
                <w:sz w:val="36"/>
                <w:szCs w:val="36"/>
              </w:rPr>
              <w:t xml:space="preserve">Evaluación de Granulación</w:t>
            </w:r>
          </w:p>
          <w:p>
            <w:pPr>
              <w:jc w:val="left"/>
            </w:pPr>
            <w:r>
              <w:rPr>
                <w:rFonts w:ascii="Arial" w:cs="Arial" w:eastAsia="Arial" w:hAnsi="Arial"/>
                <w:color w:val="BDD7EE"/>
                <w:sz w:val="22"/>
                <w:szCs w:val="22"/>
              </w:rPr>
              <w:t xml:space="preserve">Análisis de dos muestras de producto enviadas para prueba de granulación</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80"/>
        <w:gridCol w:w="2680"/>
      </w:tblGrid>
      <w:tr>
        <w:tc>
          <w:tcPr>
            <w:tcW w:type="dxa" w:w="22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r>
              <w:rPr>
                <w:rFonts w:ascii="Arial" w:cs="Arial" w:eastAsia="Arial" w:hAnsi="Arial"/>
                <w:b/>
                <w:bCs/>
                <w:color w:val="1F4E79"/>
                <w:sz w:val="20"/>
                <w:szCs w:val="20"/>
              </w:rPr>
              <w:t xml:space="preserve">Área:</w:t>
            </w:r>
          </w:p>
        </w:tc>
        <w:tc>
          <w:tcPr>
            <w:tcW w:type="dxa" w:w="44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Investigación y Desarrollo — Granulación</w:t>
            </w:r>
          </w:p>
        </w:tc>
        <w:tc>
          <w:tcPr>
            <w:tcW w:type="dxa" w:w="2680"/>
            <w:tcBorders>
              <w:top w:val="none" w:color="FFFFFF" w:sz="0"/>
              <w:left w:val="none" w:color="FFFFFF" w:sz="0"/>
              <w:bottom w:val="none" w:color="FFFFFF" w:sz="0"/>
              <w:right w:val="none" w:color="FFFFFF" w:sz="0"/>
            </w:tcBorders>
          </w:tcPr>
          <w:p>
            <w:r>
              <w:rPr>
                <w:rFonts w:ascii="Arial" w:cs="Arial" w:eastAsia="Arial" w:hAnsi="Arial"/>
              </w:rPr>
              <w:t xml:space="preserve"/>
            </w:r>
          </w:p>
        </w:tc>
      </w:tr>
      <w:tr>
        <w:tc>
          <w:tcPr>
            <w:tcW w:type="dxa" w:w="22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r>
              <w:rPr>
                <w:rFonts w:ascii="Arial" w:cs="Arial" w:eastAsia="Arial" w:hAnsi="Arial"/>
                <w:b/>
                <w:bCs/>
                <w:color w:val="1F4E79"/>
                <w:sz w:val="20"/>
                <w:szCs w:val="20"/>
              </w:rPr>
              <w:t xml:space="preserve">Elaborado por:</w:t>
            </w:r>
          </w:p>
        </w:tc>
        <w:tc>
          <w:tcPr>
            <w:tcW w:type="dxa" w:w="44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[Nombre del analista]</w:t>
            </w:r>
          </w:p>
        </w:tc>
        <w:tc>
          <w:tcPr>
            <w:tcW w:type="dxa" w:w="2680"/>
            <w:tcBorders>
              <w:top w:val="none" w:color="FFFFFF" w:sz="0"/>
              <w:left w:val="none" w:color="FFFFFF" w:sz="0"/>
              <w:bottom w:val="none" w:color="FFFFFF" w:sz="0"/>
              <w:right w:val="none" w:color="FFFFFF" w:sz="0"/>
            </w:tcBorders>
          </w:tcPr>
          <w:p>
            <w:r>
              <w:rPr>
                <w:rFonts w:ascii="Arial" w:cs="Arial" w:eastAsia="Arial" w:hAnsi="Arial"/>
              </w:rPr>
              <w:t xml:space="preserve"/>
            </w:r>
          </w:p>
        </w:tc>
      </w:tr>
      <w:tr>
        <w:tc>
          <w:tcPr>
            <w:tcW w:type="dxa" w:w="22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r>
              <w:rPr>
                <w:rFonts w:ascii="Arial" w:cs="Arial" w:eastAsia="Arial" w:hAnsi="Arial"/>
                <w:b/>
                <w:bCs/>
                <w:color w:val="1F4E79"/>
                <w:sz w:val="20"/>
                <w:szCs w:val="20"/>
              </w:rPr>
              <w:t xml:space="preserve">Fecha:</w:t>
            </w:r>
          </w:p>
        </w:tc>
        <w:tc>
          <w:tcPr>
            <w:tcW w:type="dxa" w:w="44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01 de junio de 2026</w:t>
            </w:r>
          </w:p>
        </w:tc>
        <w:tc>
          <w:tcPr>
            <w:tcW w:type="dxa" w:w="2680"/>
            <w:tcBorders>
              <w:top w:val="none" w:color="FFFFFF" w:sz="0"/>
              <w:left w:val="none" w:color="FFFFFF" w:sz="0"/>
              <w:bottom w:val="none" w:color="FFFFFF" w:sz="0"/>
              <w:right w:val="none" w:color="FFFFFF" w:sz="0"/>
            </w:tcBorders>
          </w:tcPr>
          <w:p>
            <w:r>
              <w:rPr>
                <w:rFonts w:ascii="Arial" w:cs="Arial" w:eastAsia="Arial" w:hAnsi="Arial"/>
              </w:rPr>
              <w:t xml:space="preserve"/>
            </w:r>
          </w:p>
        </w:tc>
      </w:tr>
      <w:tr>
        <w:tc>
          <w:tcPr>
            <w:tcW w:type="dxa" w:w="22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r>
              <w:rPr>
                <w:rFonts w:ascii="Arial" w:cs="Arial" w:eastAsia="Arial" w:hAnsi="Arial"/>
                <w:b/>
                <w:bCs/>
                <w:color w:val="1F4E79"/>
                <w:sz w:val="20"/>
                <w:szCs w:val="20"/>
              </w:rPr>
              <w:t xml:space="preserve">Estado:</w:t>
            </w:r>
          </w:p>
        </w:tc>
        <w:tc>
          <w:tcPr>
            <w:tcW w:type="dxa" w:w="44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Informe final</w:t>
            </w:r>
          </w:p>
        </w:tc>
        <w:tc>
          <w:tcPr>
            <w:tcW w:type="dxa" w:w="2680"/>
            <w:tcBorders>
              <w:top w:val="none" w:color="FFFFFF" w:sz="0"/>
              <w:left w:val="none" w:color="FFFFFF" w:sz="0"/>
              <w:bottom w:val="none" w:color="FFFFFF" w:sz="0"/>
              <w:right w:val="none" w:color="FFFFFF" w:sz="0"/>
            </w:tcBorders>
          </w:tcPr>
          <w:p>
            <w:r>
              <w:rPr>
                <w:rFonts w:ascii="Arial" w:cs="Arial" w:eastAsia="Arial" w:hAnsi="Arial"/>
              </w:rPr>
              <w:t xml:space="preserve"/>
            </w:r>
          </w:p>
        </w:tc>
      </w:tr>
    </w:tbl>
    <w:p>
      <w:pPr>
        <w:spacing w:after="60" w:before="60"/>
      </w:pPr>
      <w:r>
        <w:rPr>
          <w:rFonts w:ascii="Arial" w:cs="Arial" w:eastAsia="Arial" w:hAnsi="Arial"/>
        </w:rPr>
        <w:t xml:space="preserve"/>
      </w:r>
    </w:p>
    <w:p>
      <w:pPr>
        <w:pBdr>
          <w:bottom w:val="single" w:color="2E75B6" w:sz="6" w:space="1"/>
        </w:pBdr>
        <w:spacing w:after="120" w:before="120"/>
      </w:pPr>
    </w:p>
    <w:p>
      <w:pPr>
        <w:pStyle w:val="Heading1"/>
        <w:spacing w:after="120" w:before="280"/>
      </w:pPr>
      <w:r>
        <w:rPr>
          <w:rFonts w:ascii="Arial" w:cs="Arial" w:eastAsia="Arial" w:hAnsi="Arial"/>
          <w:b/>
          <w:bCs/>
          <w:color w:val="1F4E79"/>
          <w:sz w:val="28"/>
          <w:szCs w:val="28"/>
        </w:rPr>
        <w:t xml:space="preserve">Resumen Ejecutivo</w:t>
      </w:r>
    </w:p>
    <w:p>
      <w:pPr>
        <w:spacing w:after="80" w:before="80"/>
        <w:jc w:val="both"/>
      </w:pPr>
      <w:r>
        <w:rPr>
          <w:rFonts w:ascii="Arial" w:cs="Arial" w:eastAsia="Arial" w:hAnsi="Arial"/>
          <w:sz w:val="22"/>
          <w:szCs w:val="22"/>
        </w:rPr>
        <w:t xml:space="preserve">El presente informe expone los resultados obtenidos durante las pruebas de granulación realizadas sobre dos muestras de producto enviadas al área de I+D. En ninguno de los dos casos fue posible obtener un granulado con las características técnicas requeridas. La Muestra 1 presentó una granulometría gruesa incompatible con el proceso de aglomeración y una elevada demanda de líquido que derivó en formación de lodo. La Muestra 2 fue recibida como masa húmeda, condición que la hace inviable para granulación directa. Adicionalmente, en ambas muestras se constató la presencia de gránulos de DAP/MAP y gránulos blancos de MAP/UREA, lo cual evidencia contaminación cruzada en el material suministrado. Por las razones expuestas, se concluye que la granulación de ambos productos no es factible en las condiciones actuales.</w:t>
      </w:r>
    </w:p>
    <w:p>
      <w:pPr>
        <w:spacing w:after="60" w:before="60"/>
      </w:pPr>
      <w:r>
        <w:rPr>
          <w:rFonts w:ascii="Arial" w:cs="Arial" w:eastAsia="Arial" w:hAnsi="Arial"/>
        </w:rPr>
        <w:t xml:space="preserve"/>
      </w:r>
    </w:p>
    <w:p>
      <w:pPr>
        <w:pBdr>
          <w:bottom w:val="single" w:color="2E75B6" w:sz="6" w:space="1"/>
        </w:pBdr>
        <w:spacing w:after="120" w:before="120"/>
      </w:pPr>
    </w:p>
    <w:p>
      <w:pPr>
        <w:pStyle w:val="Heading1"/>
        <w:spacing w:after="120" w:before="280"/>
      </w:pPr>
      <w:r>
        <w:rPr>
          <w:rFonts w:ascii="Arial" w:cs="Arial" w:eastAsia="Arial" w:hAnsi="Arial"/>
          <w:b/>
          <w:bCs/>
          <w:color w:val="1F4E79"/>
          <w:sz w:val="28"/>
          <w:szCs w:val="28"/>
        </w:rPr>
        <w:t xml:space="preserve">1.  Muestra 1 — Caracterización y Resultados</w:t>
      </w:r>
    </w:p>
    <w:p>
      <w:pPr>
        <w:pStyle w:val="Heading2"/>
        <w:spacing w:after="80" w:before="200"/>
      </w:pPr>
      <w:r>
        <w:rPr>
          <w:rFonts w:ascii="Arial" w:cs="Arial" w:eastAsia="Arial" w:hAnsi="Arial"/>
          <w:b/>
          <w:bCs/>
          <w:color w:val="2E75B6"/>
          <w:sz w:val="24"/>
          <w:szCs w:val="24"/>
        </w:rPr>
        <w:t xml:space="preserve">1.1  Descripción del material recibido</w:t>
      </w:r>
    </w:p>
    <w:p>
      <w:pPr>
        <w:spacing w:after="80" w:before="80"/>
        <w:jc w:val="both"/>
      </w:pPr>
      <w:r>
        <w:rPr>
          <w:rFonts w:ascii="Arial" w:cs="Arial" w:eastAsia="Arial" w:hAnsi="Arial"/>
          <w:sz w:val="22"/>
          <w:szCs w:val="22"/>
        </w:rPr>
        <w:t xml:space="preserve">La muestra fue recibida como material sólido seco. Al momento de la inspección visual se identificó de manera inmediata la presencia de partículas de granulometría gruesa, con textura tipo arena. Esta condición granulométrica es desfavorable para el proceso de granulación por aglomeración húmeda, ya que la formación de núcleos estables depende fundamentalmente de la disponibilidad de partículas finas que actúen como semillas.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200"/>
        <w:gridCol w:w="4580"/>
      </w:tblGrid>
      <w:tr>
        <w:tc>
          <w:tcPr>
            <w:tcW w:type="dxa" w:w="4580"/>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single" w:color="2E75B6" w:sz="6"/>
                  </w:tcBorders>
                  <w:shd w:fill="D6E4F7" w:val="clear"/>
                  <w:tcMar>
                    <w:top w:type="dxa" w:w="80"/>
                    <w:left w:type="dxa" w:w="160"/>
                    <w:bottom w:type="dxa" w:w="80"/>
                    <w:right w:type="dxa" w:w="160"/>
                  </w:tcMar>
                </w:tcPr>
                <w:p>
                  <w:pPr>
                    <w:jc w:val="center"/>
                  </w:pPr>
                  <w:r>
                    <w:rPr>
                      <w:rFonts w:ascii="Arial" w:cs="Arial" w:eastAsia="Arial" w:hAnsi="Arial"/>
                      <w:b/>
                      <w:bCs/>
                      <w:color w:val="1F4E79"/>
                      <w:sz w:val="20"/>
                      <w:szCs w:val="20"/>
                    </w:rPr>
                    <w:t xml:space="preserve">Figura 1.1 — Aspecto visual de la Muestra 1 (material seco inicial)</w:t>
                  </w:r>
                </w:p>
              </w:tc>
            </w:tr>
            <w:tr>
              <w:trPr>
                <w:trHeight w:val="2500" w:hRule="exact"/>
              </w:trPr>
              <w:tc>
                <w:tcPr>
                  <w:tcW w:type="dxa" w:w="9360"/>
                  <w:tcBorders>
                    <w:top w:val="none" w:color="FFFFFF" w:sz="0"/>
                    <w:left w:val="single" w:color="2E75B6" w:sz="6"/>
                    <w:bottom w:val="single" w:color="2E75B6" w:sz="6"/>
                    <w:right w:val="single" w:color="2E75B6" w:sz="6"/>
                  </w:tcBorders>
                  <w:shd w:fill="EEF4FB" w:val="clear"/>
                  <w:tcMar>
                    <w:top w:type="dxa" w:w="120"/>
                    <w:left w:type="dxa" w:w="160"/>
                    <w:bottom w:type="dxa" w:w="120"/>
                    <w:right w:type="dxa" w:w="160"/>
                  </w:tcMar>
                  <w:vAlign w:val="center"/>
                </w:tcPr>
                <w:p>
                  <w:pPr>
                    <w:jc w:val="center"/>
                  </w:pPr>
                  <w:r>
                    <w:rPr>
                      <w:rFonts w:ascii="Arial" w:cs="Arial" w:eastAsia="Arial" w:hAnsi="Arial"/>
                      <w:i/>
                      <w:iCs/>
                      <w:color w:val="2E75B6"/>
                      <w:sz w:val="20"/>
                      <w:szCs w:val="20"/>
                    </w:rPr>
                    <w:t xml:space="preserve">[ Insertar imagen ]</w:t>
                  </w:r>
                </w:p>
              </w:tc>
            </w:tr>
          </w:tbl>
          <w:p/>
        </w:tc>
        <w:tc>
          <w:tcPr>
            <w:tcW w:type="dxa" w:w="20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580"/>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single" w:color="2E75B6" w:sz="6"/>
                  </w:tcBorders>
                  <w:shd w:fill="D6E4F7" w:val="clear"/>
                  <w:tcMar>
                    <w:top w:type="dxa" w:w="80"/>
                    <w:left w:type="dxa" w:w="160"/>
                    <w:bottom w:type="dxa" w:w="80"/>
                    <w:right w:type="dxa" w:w="160"/>
                  </w:tcMar>
                </w:tcPr>
                <w:p>
                  <w:pPr>
                    <w:jc w:val="center"/>
                  </w:pPr>
                  <w:r>
                    <w:rPr>
                      <w:rFonts w:ascii="Arial" w:cs="Arial" w:eastAsia="Arial" w:hAnsi="Arial"/>
                      <w:b/>
                      <w:bCs/>
                      <w:color w:val="1F4E79"/>
                      <w:sz w:val="20"/>
                      <w:szCs w:val="20"/>
                    </w:rPr>
                    <w:t xml:space="preserve">Figura 1.2 — Detalle de partículas gruesas tipo arena</w:t>
                  </w:r>
                </w:p>
              </w:tc>
            </w:tr>
            <w:tr>
              <w:trPr>
                <w:trHeight w:val="2500" w:hRule="exact"/>
              </w:trPr>
              <w:tc>
                <w:tcPr>
                  <w:tcW w:type="dxa" w:w="9360"/>
                  <w:tcBorders>
                    <w:top w:val="none" w:color="FFFFFF" w:sz="0"/>
                    <w:left w:val="single" w:color="2E75B6" w:sz="6"/>
                    <w:bottom w:val="single" w:color="2E75B6" w:sz="6"/>
                    <w:right w:val="single" w:color="2E75B6" w:sz="6"/>
                  </w:tcBorders>
                  <w:shd w:fill="EEF4FB" w:val="clear"/>
                  <w:tcMar>
                    <w:top w:type="dxa" w:w="120"/>
                    <w:left w:type="dxa" w:w="160"/>
                    <w:bottom w:type="dxa" w:w="120"/>
                    <w:right w:type="dxa" w:w="160"/>
                  </w:tcMar>
                  <w:vAlign w:val="center"/>
                </w:tcPr>
                <w:p>
                  <w:pPr>
                    <w:jc w:val="center"/>
                  </w:pPr>
                  <w:r>
                    <w:rPr>
                      <w:rFonts w:ascii="Arial" w:cs="Arial" w:eastAsia="Arial" w:hAnsi="Arial"/>
                      <w:i/>
                      <w:iCs/>
                      <w:color w:val="2E75B6"/>
                      <w:sz w:val="20"/>
                      <w:szCs w:val="20"/>
                    </w:rPr>
                    <w:t xml:space="preserve">[ Insertar imagen ]</w:t>
                  </w:r>
                </w:p>
              </w:tc>
            </w:tr>
          </w:tbl>
          <w:p/>
        </w:tc>
      </w:tr>
    </w:tbl>
    <w:p>
      <w:pPr>
        <w:spacing w:after="60" w:before="60"/>
      </w:pPr>
      <w:r>
        <w:rPr>
          <w:rFonts w:ascii="Arial" w:cs="Arial" w:eastAsia="Arial" w:hAnsi="Arial"/>
        </w:rPr>
        <w:t xml:space="preserve"/>
      </w:r>
    </w:p>
    <w:p>
      <w:pPr>
        <w:pStyle w:val="Heading2"/>
        <w:spacing w:after="80" w:before="200"/>
      </w:pPr>
      <w:r>
        <w:rPr>
          <w:rFonts w:ascii="Arial" w:cs="Arial" w:eastAsia="Arial" w:hAnsi="Arial"/>
          <w:b/>
          <w:bCs/>
          <w:color w:val="2E75B6"/>
          <w:sz w:val="24"/>
          <w:szCs w:val="24"/>
        </w:rPr>
        <w:t xml:space="preserve">1.2  Comportamiento durante la granulación</w:t>
      </w:r>
    </w:p>
    <w:p>
      <w:pPr>
        <w:spacing w:after="80" w:before="80"/>
        <w:jc w:val="both"/>
      </w:pPr>
      <w:r>
        <w:rPr>
          <w:rFonts w:ascii="Arial" w:cs="Arial" w:eastAsia="Arial" w:hAnsi="Arial"/>
          <w:sz w:val="22"/>
          <w:szCs w:val="22"/>
        </w:rPr>
        <w:t xml:space="preserve">Al iniciar la prueba de granulación se observaron las siguientes dificultades de proceso:</w:t>
      </w:r>
    </w:p>
    <w:p>
      <w:pPr>
        <w:pStyle w:val="ListParagraph"/>
        <w:numPr>
          <w:ilvl w:val="0"/>
          <w:numId w:val="2"/>
        </w:numPr>
        <w:spacing w:after="60" w:before="60"/>
      </w:pPr>
      <w:r>
        <w:rPr>
          <w:rFonts w:ascii="Arial" w:cs="Arial" w:eastAsia="Arial" w:hAnsi="Arial"/>
          <w:sz w:val="22"/>
          <w:szCs w:val="22"/>
        </w:rPr>
        <w:t xml:space="preserve">Elevada demanda de líquido aglutinante: el material requirió una cantidad de líquido significativamente superior a la habitual para que la mezcla comenzara a cohesionarse. Esto es consecuencia directa de la alta superficie específica de las partículas gruesas, que retiene el líquido sin favorecer la unión entre partículas.</w:t>
      </w:r>
    </w:p>
    <w:p>
      <w:pPr>
        <w:pStyle w:val="ListParagraph"/>
        <w:numPr>
          <w:ilvl w:val="0"/>
          <w:numId w:val="2"/>
        </w:numPr>
        <w:spacing w:after="60" w:before="60"/>
      </w:pPr>
      <w:r>
        <w:rPr>
          <w:rFonts w:ascii="Arial" w:cs="Arial" w:eastAsia="Arial" w:hAnsi="Arial"/>
          <w:sz w:val="22"/>
          <w:szCs w:val="22"/>
        </w:rPr>
        <w:t xml:space="preserve">Formación de lodo en lugar de gránulos: el exceso de líquido necesario para humectar el material transformó la mezcla en una pasta homogénea sin estructura granular discernible.</w:t>
      </w:r>
    </w:p>
    <w:p>
      <w:pPr>
        <w:pStyle w:val="ListParagraph"/>
        <w:numPr>
          <w:ilvl w:val="0"/>
          <w:numId w:val="2"/>
        </w:numPr>
        <w:spacing w:after="60" w:before="60"/>
      </w:pPr>
      <w:r>
        <w:rPr>
          <w:rFonts w:ascii="Arial" w:cs="Arial" w:eastAsia="Arial" w:hAnsi="Arial"/>
          <w:sz w:val="22"/>
          <w:szCs w:val="22"/>
        </w:rPr>
        <w:t xml:space="preserve">Baja eficiencia de la adición de producto seco: se intentó corregir el exceso de humedad mediante la incorporación de material seco adicional. Sin embargo, las partículas gruesas presentes en la mezcla no favorecieron la absorción eficiente del líquido; por el contrario, tendieron a aglomerarse con la fase húmeda, formando gránulos de tamaño excesivamente grande e irregular.</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single" w:color="2E75B6" w:sz="6"/>
            </w:tcBorders>
            <w:shd w:fill="D6E4F7" w:val="clear"/>
            <w:tcMar>
              <w:top w:type="dxa" w:w="80"/>
              <w:left w:type="dxa" w:w="160"/>
              <w:bottom w:type="dxa" w:w="80"/>
              <w:right w:type="dxa" w:w="160"/>
            </w:tcMar>
          </w:tcPr>
          <w:p>
            <w:pPr>
              <w:jc w:val="center"/>
            </w:pPr>
            <w:r>
              <w:rPr>
                <w:rFonts w:ascii="Arial" w:cs="Arial" w:eastAsia="Arial" w:hAnsi="Arial"/>
                <w:b/>
                <w:bCs/>
                <w:color w:val="1F4E79"/>
                <w:sz w:val="20"/>
                <w:szCs w:val="20"/>
              </w:rPr>
              <w:t xml:space="preserve">Figura 1.3 — Aspecto de la mezcla durante la adición de líquido (formación de lodo)</w:t>
            </w:r>
          </w:p>
        </w:tc>
      </w:tr>
      <w:tr>
        <w:trPr>
          <w:trHeight w:val="2700" w:hRule="exact"/>
        </w:trPr>
        <w:tc>
          <w:tcPr>
            <w:tcW w:type="dxa" w:w="9360"/>
            <w:tcBorders>
              <w:top w:val="none" w:color="FFFFFF" w:sz="0"/>
              <w:left w:val="single" w:color="2E75B6" w:sz="6"/>
              <w:bottom w:val="single" w:color="2E75B6" w:sz="6"/>
              <w:right w:val="single" w:color="2E75B6" w:sz="6"/>
            </w:tcBorders>
            <w:shd w:fill="EEF4FB" w:val="clear"/>
            <w:tcMar>
              <w:top w:type="dxa" w:w="120"/>
              <w:left w:type="dxa" w:w="160"/>
              <w:bottom w:type="dxa" w:w="120"/>
              <w:right w:type="dxa" w:w="160"/>
            </w:tcMar>
            <w:vAlign w:val="center"/>
          </w:tcPr>
          <w:p>
            <w:pPr>
              <w:jc w:val="center"/>
            </w:pPr>
            <w:r>
              <w:rPr>
                <w:rFonts w:ascii="Arial" w:cs="Arial" w:eastAsia="Arial" w:hAnsi="Arial"/>
                <w:i/>
                <w:iCs/>
                <w:color w:val="2E75B6"/>
                <w:sz w:val="20"/>
                <w:szCs w:val="20"/>
              </w:rPr>
              <w:t xml:space="preserve">[ Insertar imagen ]</w:t>
            </w:r>
          </w:p>
        </w:tc>
      </w:tr>
    </w:tbl>
    <w:p>
      <w:pPr>
        <w:spacing w:after="60" w:before="60"/>
      </w:pPr>
      <w:r>
        <w:rPr>
          <w:rFonts w:ascii="Arial" w:cs="Arial" w:eastAsia="Arial" w:hAnsi="Arial"/>
        </w:rPr>
        <w:t xml:space="preserve"/>
      </w:r>
    </w:p>
    <w:p>
      <w:pPr>
        <w:pStyle w:val="Heading2"/>
        <w:spacing w:after="80" w:before="200"/>
      </w:pPr>
      <w:r>
        <w:rPr>
          <w:rFonts w:ascii="Arial" w:cs="Arial" w:eastAsia="Arial" w:hAnsi="Arial"/>
          <w:b/>
          <w:bCs/>
          <w:color w:val="2E75B6"/>
          <w:sz w:val="24"/>
          <w:szCs w:val="24"/>
        </w:rPr>
        <w:t xml:space="preserve">1.3  Resultado obtenido</w:t>
      </w:r>
    </w:p>
    <w:p>
      <w:pPr>
        <w:spacing w:after="80" w:before="80"/>
        <w:jc w:val="both"/>
      </w:pPr>
      <w:r>
        <w:rPr>
          <w:rFonts w:ascii="Arial" w:cs="Arial" w:eastAsia="Arial" w:hAnsi="Arial"/>
          <w:sz w:val="22"/>
          <w:szCs w:val="22"/>
        </w:rPr>
        <w:t xml:space="preserve">El producto final obtenido de la prueba de granulación de la Muestra 1 resultó en una mezcla heterogénea compuesta por tres fracciones claramente diferenciables:</w:t>
      </w:r>
    </w:p>
    <w:p>
      <w:pPr>
        <w:pStyle w:val="ListParagraph"/>
        <w:numPr>
          <w:ilvl w:val="0"/>
          <w:numId w:val="2"/>
        </w:numPr>
        <w:spacing w:after="60" w:before="60"/>
      </w:pPr>
      <w:r>
        <w:rPr>
          <w:rFonts w:ascii="Arial" w:cs="Arial" w:eastAsia="Arial" w:hAnsi="Arial"/>
          <w:sz w:val="22"/>
          <w:szCs w:val="22"/>
        </w:rPr>
        <w:t xml:space="preserve">Fracción A — Partículas gruesas sin aglomerar: partículas de tamaño grande, de textura arenosa, que no participaron en la formación de gránulos.</w:t>
      </w:r>
    </w:p>
    <w:p>
      <w:pPr>
        <w:pStyle w:val="ListParagraph"/>
        <w:numPr>
          <w:ilvl w:val="0"/>
          <w:numId w:val="2"/>
        </w:numPr>
        <w:spacing w:after="60" w:before="60"/>
      </w:pPr>
      <w:r>
        <w:rPr>
          <w:rFonts w:ascii="Arial" w:cs="Arial" w:eastAsia="Arial" w:hAnsi="Arial"/>
          <w:sz w:val="22"/>
          <w:szCs w:val="22"/>
        </w:rPr>
        <w:t xml:space="preserve">Fracción B — Gránulos húmedos de baja consistencia: pequeña proporción de gránulos con humedad elevada, muy baja dureza y pobre integridad mecánica; susceptibles de desintegrarse al mínimo esfuerzo.</w:t>
      </w:r>
    </w:p>
    <w:p>
      <w:pPr>
        <w:pStyle w:val="ListParagraph"/>
        <w:numPr>
          <w:ilvl w:val="0"/>
          <w:numId w:val="2"/>
        </w:numPr>
        <w:spacing w:after="60" w:before="60"/>
      </w:pPr>
      <w:r>
        <w:rPr>
          <w:rFonts w:ascii="Arial" w:cs="Arial" w:eastAsia="Arial" w:hAnsi="Arial"/>
          <w:sz w:val="22"/>
          <w:szCs w:val="22"/>
        </w:rPr>
        <w:t xml:space="preserve">Fracción C — Masa húmeda residual: porción mayoritaria de la mezcla que permaneció como pasta compacta sin llegar a granular.</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200"/>
        <w:gridCol w:w="4580"/>
      </w:tblGrid>
      <w:tr>
        <w:tc>
          <w:tcPr>
            <w:tcW w:type="dxa" w:w="4580"/>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single" w:color="2E75B6" w:sz="6"/>
                  </w:tcBorders>
                  <w:shd w:fill="D6E4F7" w:val="clear"/>
                  <w:tcMar>
                    <w:top w:type="dxa" w:w="80"/>
                    <w:left w:type="dxa" w:w="160"/>
                    <w:bottom w:type="dxa" w:w="80"/>
                    <w:right w:type="dxa" w:w="160"/>
                  </w:tcMar>
                </w:tcPr>
                <w:p>
                  <w:pPr>
                    <w:jc w:val="center"/>
                  </w:pPr>
                  <w:r>
                    <w:rPr>
                      <w:rFonts w:ascii="Arial" w:cs="Arial" w:eastAsia="Arial" w:hAnsi="Arial"/>
                      <w:b/>
                      <w:bCs/>
                      <w:color w:val="1F4E79"/>
                      <w:sz w:val="20"/>
                      <w:szCs w:val="20"/>
                    </w:rPr>
                    <w:t xml:space="preserve">Figura 1.4 — Fracción A: partículas gruesas sin aglomerar</w:t>
                  </w:r>
                </w:p>
              </w:tc>
            </w:tr>
            <w:tr>
              <w:trPr>
                <w:trHeight w:val="2500" w:hRule="exact"/>
              </w:trPr>
              <w:tc>
                <w:tcPr>
                  <w:tcW w:type="dxa" w:w="9360"/>
                  <w:tcBorders>
                    <w:top w:val="none" w:color="FFFFFF" w:sz="0"/>
                    <w:left w:val="single" w:color="2E75B6" w:sz="6"/>
                    <w:bottom w:val="single" w:color="2E75B6" w:sz="6"/>
                    <w:right w:val="single" w:color="2E75B6" w:sz="6"/>
                  </w:tcBorders>
                  <w:shd w:fill="EEF4FB" w:val="clear"/>
                  <w:tcMar>
                    <w:top w:type="dxa" w:w="120"/>
                    <w:left w:type="dxa" w:w="160"/>
                    <w:bottom w:type="dxa" w:w="120"/>
                    <w:right w:type="dxa" w:w="160"/>
                  </w:tcMar>
                  <w:vAlign w:val="center"/>
                </w:tcPr>
                <w:p>
                  <w:pPr>
                    <w:jc w:val="center"/>
                  </w:pPr>
                  <w:r>
                    <w:rPr>
                      <w:rFonts w:ascii="Arial" w:cs="Arial" w:eastAsia="Arial" w:hAnsi="Arial"/>
                      <w:i/>
                      <w:iCs/>
                      <w:color w:val="2E75B6"/>
                      <w:sz w:val="20"/>
                      <w:szCs w:val="20"/>
                    </w:rPr>
                    <w:t xml:space="preserve">[ Insertar imagen ]</w:t>
                  </w:r>
                </w:p>
              </w:tc>
            </w:tr>
          </w:tbl>
          <w:p/>
        </w:tc>
        <w:tc>
          <w:tcPr>
            <w:tcW w:type="dxa" w:w="20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580"/>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single" w:color="2E75B6" w:sz="6"/>
                  </w:tcBorders>
                  <w:shd w:fill="D6E4F7" w:val="clear"/>
                  <w:tcMar>
                    <w:top w:type="dxa" w:w="80"/>
                    <w:left w:type="dxa" w:w="160"/>
                    <w:bottom w:type="dxa" w:w="80"/>
                    <w:right w:type="dxa" w:w="160"/>
                  </w:tcMar>
                </w:tcPr>
                <w:p>
                  <w:pPr>
                    <w:jc w:val="center"/>
                  </w:pPr>
                  <w:r>
                    <w:rPr>
                      <w:rFonts w:ascii="Arial" w:cs="Arial" w:eastAsia="Arial" w:hAnsi="Arial"/>
                      <w:b/>
                      <w:bCs/>
                      <w:color w:val="1F4E79"/>
                      <w:sz w:val="20"/>
                      <w:szCs w:val="20"/>
                    </w:rPr>
                    <w:t xml:space="preserve">Figura 1.5 — Fracción B y C: gránulos húmedos y masa residual</w:t>
                  </w:r>
                </w:p>
              </w:tc>
            </w:tr>
            <w:tr>
              <w:trPr>
                <w:trHeight w:val="2500" w:hRule="exact"/>
              </w:trPr>
              <w:tc>
                <w:tcPr>
                  <w:tcW w:type="dxa" w:w="9360"/>
                  <w:tcBorders>
                    <w:top w:val="none" w:color="FFFFFF" w:sz="0"/>
                    <w:left w:val="single" w:color="2E75B6" w:sz="6"/>
                    <w:bottom w:val="single" w:color="2E75B6" w:sz="6"/>
                    <w:right w:val="single" w:color="2E75B6" w:sz="6"/>
                  </w:tcBorders>
                  <w:shd w:fill="EEF4FB" w:val="clear"/>
                  <w:tcMar>
                    <w:top w:type="dxa" w:w="120"/>
                    <w:left w:type="dxa" w:w="160"/>
                    <w:bottom w:type="dxa" w:w="120"/>
                    <w:right w:type="dxa" w:w="160"/>
                  </w:tcMar>
                  <w:vAlign w:val="center"/>
                </w:tcPr>
                <w:p>
                  <w:pPr>
                    <w:jc w:val="center"/>
                  </w:pPr>
                  <w:r>
                    <w:rPr>
                      <w:rFonts w:ascii="Arial" w:cs="Arial" w:eastAsia="Arial" w:hAnsi="Arial"/>
                      <w:i/>
                      <w:iCs/>
                      <w:color w:val="2E75B6"/>
                      <w:sz w:val="20"/>
                      <w:szCs w:val="20"/>
                    </w:rPr>
                    <w:t xml:space="preserve">[ Insertar imagen ]</w:t>
                  </w:r>
                </w:p>
              </w:tc>
            </w:tr>
          </w:tbl>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w:t>
            </w:r>
          </w:p>
        </w:tc>
        <w:tc>
          <w:tcPr>
            <w:tcW w:type="dxa" w:w="9080"/>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r>
              <w:rPr>
                <w:rFonts w:ascii="Arial" w:cs="Arial" w:eastAsia="Arial" w:hAnsi="Arial"/>
                <w:i/>
                <w:iCs/>
                <w:color w:val="1F4E79"/>
                <w:sz w:val="20"/>
                <w:szCs w:val="20"/>
              </w:rPr>
              <w:t xml:space="preserve">NOTA: La presencia de gránulos de DAP/MAP y gránulos blancos de MAP/UREA fue confirmada visualmente en la Muestra 1, lo que indica mezcla de materias primas previamente granuladas con el material a procesar.</w:t>
            </w:r>
          </w:p>
        </w:tc>
      </w:tr>
    </w:tbl>
    <w:p>
      <w:pPr>
        <w:spacing w:after="60" w:before="60"/>
      </w:pPr>
      <w:r>
        <w:rPr>
          <w:rFonts w:ascii="Arial" w:cs="Arial" w:eastAsia="Arial" w:hAnsi="Arial"/>
        </w:rPr>
        <w:t xml:space="preserve"/>
      </w:r>
    </w:p>
    <w:p>
      <w:pPr>
        <w:pBdr>
          <w:bottom w:val="single" w:color="2E75B6" w:sz="6" w:space="1"/>
        </w:pBdr>
        <w:spacing w:after="120" w:before="120"/>
      </w:pPr>
    </w:p>
    <w:p>
      <w:pPr>
        <w:pStyle w:val="Heading1"/>
        <w:spacing w:after="120" w:before="280"/>
      </w:pPr>
      <w:r>
        <w:rPr>
          <w:rFonts w:ascii="Arial" w:cs="Arial" w:eastAsia="Arial" w:hAnsi="Arial"/>
          <w:b/>
          <w:bCs/>
          <w:color w:val="1F4E79"/>
          <w:sz w:val="28"/>
          <w:szCs w:val="28"/>
        </w:rPr>
        <w:t xml:space="preserve">2.  Muestra 2 — Caracterización y Resultados</w:t>
      </w:r>
    </w:p>
    <w:p>
      <w:pPr>
        <w:pStyle w:val="Heading2"/>
        <w:spacing w:after="80" w:before="200"/>
      </w:pPr>
      <w:r>
        <w:rPr>
          <w:rFonts w:ascii="Arial" w:cs="Arial" w:eastAsia="Arial" w:hAnsi="Arial"/>
          <w:b/>
          <w:bCs/>
          <w:color w:val="2E75B6"/>
          <w:sz w:val="24"/>
          <w:szCs w:val="24"/>
        </w:rPr>
        <w:t xml:space="preserve">2.1  Descripción del material recibido</w:t>
      </w:r>
    </w:p>
    <w:p>
      <w:pPr>
        <w:spacing w:after="80" w:before="80"/>
        <w:jc w:val="both"/>
      </w:pPr>
      <w:r>
        <w:rPr>
          <w:rFonts w:ascii="Arial" w:cs="Arial" w:eastAsia="Arial" w:hAnsi="Arial"/>
          <w:sz w:val="22"/>
          <w:szCs w:val="22"/>
        </w:rPr>
        <w:t xml:space="preserve">La Muestra 2 fue recibida en estado de masa húmeda compacta. El material presentaba una humedad notablemente superior a la admisible para el inicio de un proceso de granulación. La cohesión y plasticidad de la masa indicaban que el producto había absorbido o retenido líquido de forma previa, bien durante el almacenamiento, el transporte o el proceso del que proviene.</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200"/>
        <w:gridCol w:w="4580"/>
      </w:tblGrid>
      <w:tr>
        <w:tc>
          <w:tcPr>
            <w:tcW w:type="dxa" w:w="4580"/>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single" w:color="2E75B6" w:sz="6"/>
                  </w:tcBorders>
                  <w:shd w:fill="D6E4F7" w:val="clear"/>
                  <w:tcMar>
                    <w:top w:type="dxa" w:w="80"/>
                    <w:left w:type="dxa" w:w="160"/>
                    <w:bottom w:type="dxa" w:w="80"/>
                    <w:right w:type="dxa" w:w="160"/>
                  </w:tcMar>
                </w:tcPr>
                <w:p>
                  <w:pPr>
                    <w:jc w:val="center"/>
                  </w:pPr>
                  <w:r>
                    <w:rPr>
                      <w:rFonts w:ascii="Arial" w:cs="Arial" w:eastAsia="Arial" w:hAnsi="Arial"/>
                      <w:b/>
                      <w:bCs/>
                      <w:color w:val="1F4E79"/>
                      <w:sz w:val="20"/>
                      <w:szCs w:val="20"/>
                    </w:rPr>
                    <w:t xml:space="preserve">Figura 2.1 — Estado de la Muestra 2 al momento de la recepción (masa húmeda)</w:t>
                  </w:r>
                </w:p>
              </w:tc>
            </w:tr>
            <w:tr>
              <w:trPr>
                <w:trHeight w:val="2500" w:hRule="exact"/>
              </w:trPr>
              <w:tc>
                <w:tcPr>
                  <w:tcW w:type="dxa" w:w="9360"/>
                  <w:tcBorders>
                    <w:top w:val="none" w:color="FFFFFF" w:sz="0"/>
                    <w:left w:val="single" w:color="2E75B6" w:sz="6"/>
                    <w:bottom w:val="single" w:color="2E75B6" w:sz="6"/>
                    <w:right w:val="single" w:color="2E75B6" w:sz="6"/>
                  </w:tcBorders>
                  <w:shd w:fill="EEF4FB" w:val="clear"/>
                  <w:tcMar>
                    <w:top w:type="dxa" w:w="120"/>
                    <w:left w:type="dxa" w:w="160"/>
                    <w:bottom w:type="dxa" w:w="120"/>
                    <w:right w:type="dxa" w:w="160"/>
                  </w:tcMar>
                  <w:vAlign w:val="center"/>
                </w:tcPr>
                <w:p>
                  <w:pPr>
                    <w:jc w:val="center"/>
                  </w:pPr>
                  <w:r>
                    <w:rPr>
                      <w:rFonts w:ascii="Arial" w:cs="Arial" w:eastAsia="Arial" w:hAnsi="Arial"/>
                      <w:i/>
                      <w:iCs/>
                      <w:color w:val="2E75B6"/>
                      <w:sz w:val="20"/>
                      <w:szCs w:val="20"/>
                    </w:rPr>
                    <w:t xml:space="preserve">[ Insertar imagen ]</w:t>
                  </w:r>
                </w:p>
              </w:tc>
            </w:tr>
          </w:tbl>
          <w:p/>
        </w:tc>
        <w:tc>
          <w:tcPr>
            <w:tcW w:type="dxa" w:w="20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580"/>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single" w:color="2E75B6" w:sz="6"/>
                  </w:tcBorders>
                  <w:shd w:fill="D6E4F7" w:val="clear"/>
                  <w:tcMar>
                    <w:top w:type="dxa" w:w="80"/>
                    <w:left w:type="dxa" w:w="160"/>
                    <w:bottom w:type="dxa" w:w="80"/>
                    <w:right w:type="dxa" w:w="160"/>
                  </w:tcMar>
                </w:tcPr>
                <w:p>
                  <w:pPr>
                    <w:jc w:val="center"/>
                  </w:pPr>
                  <w:r>
                    <w:rPr>
                      <w:rFonts w:ascii="Arial" w:cs="Arial" w:eastAsia="Arial" w:hAnsi="Arial"/>
                      <w:b/>
                      <w:bCs/>
                      <w:color w:val="1F4E79"/>
                      <w:sz w:val="20"/>
                      <w:szCs w:val="20"/>
                    </w:rPr>
                    <w:t xml:space="preserve">Figura 2.2 — Detalle de la textura y cohesión del material</w:t>
                  </w:r>
                </w:p>
              </w:tc>
            </w:tr>
            <w:tr>
              <w:trPr>
                <w:trHeight w:val="2500" w:hRule="exact"/>
              </w:trPr>
              <w:tc>
                <w:tcPr>
                  <w:tcW w:type="dxa" w:w="9360"/>
                  <w:tcBorders>
                    <w:top w:val="none" w:color="FFFFFF" w:sz="0"/>
                    <w:left w:val="single" w:color="2E75B6" w:sz="6"/>
                    <w:bottom w:val="single" w:color="2E75B6" w:sz="6"/>
                    <w:right w:val="single" w:color="2E75B6" w:sz="6"/>
                  </w:tcBorders>
                  <w:shd w:fill="EEF4FB" w:val="clear"/>
                  <w:tcMar>
                    <w:top w:type="dxa" w:w="120"/>
                    <w:left w:type="dxa" w:w="160"/>
                    <w:bottom w:type="dxa" w:w="120"/>
                    <w:right w:type="dxa" w:w="160"/>
                  </w:tcMar>
                  <w:vAlign w:val="center"/>
                </w:tcPr>
                <w:p>
                  <w:pPr>
                    <w:jc w:val="center"/>
                  </w:pPr>
                  <w:r>
                    <w:rPr>
                      <w:rFonts w:ascii="Arial" w:cs="Arial" w:eastAsia="Arial" w:hAnsi="Arial"/>
                      <w:i/>
                      <w:iCs/>
                      <w:color w:val="2E75B6"/>
                      <w:sz w:val="20"/>
                      <w:szCs w:val="20"/>
                    </w:rPr>
                    <w:t xml:space="preserve">[ Insertar imagen ]</w:t>
                  </w:r>
                </w:p>
              </w:tc>
            </w:tr>
          </w:tbl>
          <w:p/>
        </w:tc>
      </w:tr>
    </w:tbl>
    <w:p>
      <w:pPr>
        <w:spacing w:after="60" w:before="60"/>
      </w:pPr>
      <w:r>
        <w:rPr>
          <w:rFonts w:ascii="Arial" w:cs="Arial" w:eastAsia="Arial" w:hAnsi="Arial"/>
        </w:rPr>
        <w:t xml:space="preserve"/>
      </w:r>
    </w:p>
    <w:p>
      <w:pPr>
        <w:pStyle w:val="Heading2"/>
        <w:spacing w:after="80" w:before="200"/>
      </w:pPr>
      <w:r>
        <w:rPr>
          <w:rFonts w:ascii="Arial" w:cs="Arial" w:eastAsia="Arial" w:hAnsi="Arial"/>
          <w:b/>
          <w:bCs/>
          <w:color w:val="2E75B6"/>
          <w:sz w:val="24"/>
          <w:szCs w:val="24"/>
        </w:rPr>
        <w:t xml:space="preserve">2.2  Evaluación de granulabilidad</w:t>
      </w:r>
    </w:p>
    <w:p>
      <w:pPr>
        <w:spacing w:after="80" w:before="80"/>
        <w:jc w:val="both"/>
      </w:pPr>
      <w:r>
        <w:rPr>
          <w:rFonts w:ascii="Arial" w:cs="Arial" w:eastAsia="Arial" w:hAnsi="Arial"/>
          <w:sz w:val="22"/>
          <w:szCs w:val="22"/>
        </w:rPr>
        <w:t xml:space="preserve">Para que un material sea granulable mediante el proceso estándar de granulación húmeda por aglomeración, es indispensable que se encuentre en estado seco o semifluido, con una humedad residual controlada que permita al líquido aglutinante crear los puentes líquidos necesarios para la formación de núcleos. Un material que ya se encuentra en estado de masa húmeda:</w:t>
      </w:r>
    </w:p>
    <w:p>
      <w:pPr>
        <w:pStyle w:val="ListParagraph"/>
        <w:numPr>
          <w:ilvl w:val="0"/>
          <w:numId w:val="2"/>
        </w:numPr>
        <w:spacing w:after="60" w:before="60"/>
      </w:pPr>
      <w:r>
        <w:rPr>
          <w:rFonts w:ascii="Arial" w:cs="Arial" w:eastAsia="Arial" w:hAnsi="Arial"/>
          <w:sz w:val="22"/>
          <w:szCs w:val="22"/>
        </w:rPr>
        <w:t xml:space="preserve">No admite adición de más líquido sin colapsar completamente la estructura.</w:t>
      </w:r>
    </w:p>
    <w:p>
      <w:pPr>
        <w:pStyle w:val="ListParagraph"/>
        <w:numPr>
          <w:ilvl w:val="0"/>
          <w:numId w:val="2"/>
        </w:numPr>
        <w:spacing w:after="60" w:before="60"/>
      </w:pPr>
      <w:r>
        <w:rPr>
          <w:rFonts w:ascii="Arial" w:cs="Arial" w:eastAsia="Arial" w:hAnsi="Arial"/>
          <w:sz w:val="22"/>
          <w:szCs w:val="22"/>
        </w:rPr>
        <w:t xml:space="preserve">Presenta una plasticidad excesiva que impide la formación de gránulos discretos.</w:t>
      </w:r>
    </w:p>
    <w:p>
      <w:pPr>
        <w:pStyle w:val="ListParagraph"/>
        <w:numPr>
          <w:ilvl w:val="0"/>
          <w:numId w:val="2"/>
        </w:numPr>
        <w:spacing w:after="60" w:before="60"/>
      </w:pPr>
      <w:r>
        <w:rPr>
          <w:rFonts w:ascii="Arial" w:cs="Arial" w:eastAsia="Arial" w:hAnsi="Arial"/>
          <w:sz w:val="22"/>
          <w:szCs w:val="22"/>
        </w:rPr>
        <w:t xml:space="preserve">Genera adherencia intensa a las superficies del equipo granulador, dificultando la operación.</w:t>
      </w:r>
    </w:p>
    <w:p>
      <w:pPr>
        <w:spacing w:after="80" w:before="80"/>
        <w:jc w:val="both"/>
      </w:pPr>
      <w:r>
        <w:rPr>
          <w:rFonts w:ascii="Arial" w:cs="Arial" w:eastAsia="Arial" w:hAnsi="Arial"/>
          <w:sz w:val="22"/>
          <w:szCs w:val="22"/>
        </w:rPr>
        <w:t xml:space="preserve">Por estas razones, el material de la Muestra 2 no fue sometido a prueba de granulación, ya que las condiciones físicas del producto hacían previsible el fracaso del proceso y el riesgo de contaminar el equipo.</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w:t>
            </w:r>
          </w:p>
        </w:tc>
        <w:tc>
          <w:tcPr>
            <w:tcW w:type="dxa" w:w="9080"/>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r>
              <w:rPr>
                <w:rFonts w:ascii="Arial" w:cs="Arial" w:eastAsia="Arial" w:hAnsi="Arial"/>
                <w:i/>
                <w:iCs/>
                <w:color w:val="1F4E79"/>
                <w:sz w:val="20"/>
                <w:szCs w:val="20"/>
              </w:rPr>
              <w:t xml:space="preserve">NOTA: De forma análoga a la Muestra 1, se identificaron visualmente gránulos de DAP/MAP y gránulos blancos de MAP/UREA en la Muestra 2, evidenciando la presencia de material granulado mezclado dentro de la muestra enviada.</w:t>
            </w:r>
          </w:p>
        </w:tc>
      </w:tr>
    </w:tbl>
    <w:p>
      <w:pPr>
        <w:spacing w:after="60" w:before="60"/>
      </w:pPr>
      <w:r>
        <w:rPr>
          <w:rFonts w:ascii="Arial" w:cs="Arial" w:eastAsia="Arial" w:hAnsi="Arial"/>
        </w:rPr>
        <w:t xml:space="preserve"/>
      </w:r>
    </w:p>
    <w:p>
      <w:pPr>
        <w:pBdr>
          <w:bottom w:val="single" w:color="2E75B6" w:sz="6" w:space="1"/>
        </w:pBdr>
        <w:spacing w:after="120" w:before="120"/>
      </w:pPr>
    </w:p>
    <w:p>
      <w:pPr>
        <w:pStyle w:val="Heading1"/>
        <w:spacing w:after="120" w:before="280"/>
      </w:pPr>
      <w:r>
        <w:rPr>
          <w:rFonts w:ascii="Arial" w:cs="Arial" w:eastAsia="Arial" w:hAnsi="Arial"/>
          <w:b/>
          <w:bCs/>
          <w:color w:val="1F4E79"/>
          <w:sz w:val="28"/>
          <w:szCs w:val="28"/>
        </w:rPr>
        <w:t xml:space="preserve">3.  Observaciones Comunes a Ambas Muestras</w:t>
      </w:r>
    </w:p>
    <w:p>
      <w:pPr>
        <w:spacing w:after="80" w:before="80"/>
        <w:jc w:val="both"/>
      </w:pPr>
      <w:r>
        <w:rPr>
          <w:rFonts w:ascii="Arial" w:cs="Arial" w:eastAsia="Arial" w:hAnsi="Arial"/>
          <w:sz w:val="22"/>
          <w:szCs w:val="22"/>
        </w:rPr>
        <w:t xml:space="preserve">Durante la evaluación de las dos muestras se identificaron elementos comunes que merecen especial atención:</w:t>
      </w:r>
    </w:p>
    <w:p>
      <w:pPr>
        <w:pStyle w:val="Heading2"/>
        <w:spacing w:after="80" w:before="200"/>
      </w:pPr>
      <w:r>
        <w:rPr>
          <w:rFonts w:ascii="Arial" w:cs="Arial" w:eastAsia="Arial" w:hAnsi="Arial"/>
          <w:b/>
          <w:bCs/>
          <w:color w:val="2E75B6"/>
          <w:sz w:val="24"/>
          <w:szCs w:val="24"/>
        </w:rPr>
        <w:t xml:space="preserve">3.1  Contaminación con gránulos de DAP/MAP</w:t>
      </w:r>
    </w:p>
    <w:p>
      <w:pPr>
        <w:spacing w:after="80" w:before="80"/>
        <w:jc w:val="both"/>
      </w:pPr>
      <w:r>
        <w:rPr>
          <w:rFonts w:ascii="Arial" w:cs="Arial" w:eastAsia="Arial" w:hAnsi="Arial"/>
          <w:sz w:val="22"/>
          <w:szCs w:val="22"/>
        </w:rPr>
        <w:t xml:space="preserve">En ambas muestras se constató la presencia de gránulos de fosfato diamónico (DAP) y/o fosfato monoamónico (MAP), de coloración característica y tamaño esférico uniforme. Estos gránulos son ajenos a la formulación del producto evaluado, por lo que su presencia indica contaminación cruzada en la cadena de suministro, en los puntos de transferencia o en el almacenamiento del material.</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single" w:color="2E75B6" w:sz="6"/>
            </w:tcBorders>
            <w:shd w:fill="D6E4F7" w:val="clear"/>
            <w:tcMar>
              <w:top w:type="dxa" w:w="80"/>
              <w:left w:type="dxa" w:w="160"/>
              <w:bottom w:type="dxa" w:w="80"/>
              <w:right w:type="dxa" w:w="160"/>
            </w:tcMar>
          </w:tcPr>
          <w:p>
            <w:pPr>
              <w:jc w:val="center"/>
            </w:pPr>
            <w:r>
              <w:rPr>
                <w:rFonts w:ascii="Arial" w:cs="Arial" w:eastAsia="Arial" w:hAnsi="Arial"/>
                <w:b/>
                <w:bCs/>
                <w:color w:val="1F4E79"/>
                <w:sz w:val="20"/>
                <w:szCs w:val="20"/>
              </w:rPr>
              <w:t xml:space="preserve">Figura 3.1 — Gránulos de DAP/MAP identificados en las muestras</w:t>
            </w:r>
          </w:p>
        </w:tc>
      </w:tr>
      <w:tr>
        <w:trPr>
          <w:trHeight w:val="2700" w:hRule="exact"/>
        </w:trPr>
        <w:tc>
          <w:tcPr>
            <w:tcW w:type="dxa" w:w="9360"/>
            <w:tcBorders>
              <w:top w:val="none" w:color="FFFFFF" w:sz="0"/>
              <w:left w:val="single" w:color="2E75B6" w:sz="6"/>
              <w:bottom w:val="single" w:color="2E75B6" w:sz="6"/>
              <w:right w:val="single" w:color="2E75B6" w:sz="6"/>
            </w:tcBorders>
            <w:shd w:fill="EEF4FB" w:val="clear"/>
            <w:tcMar>
              <w:top w:type="dxa" w:w="120"/>
              <w:left w:type="dxa" w:w="160"/>
              <w:bottom w:type="dxa" w:w="120"/>
              <w:right w:type="dxa" w:w="160"/>
            </w:tcMar>
            <w:vAlign w:val="center"/>
          </w:tcPr>
          <w:p>
            <w:pPr>
              <w:jc w:val="center"/>
            </w:pPr>
            <w:r>
              <w:rPr>
                <w:rFonts w:ascii="Arial" w:cs="Arial" w:eastAsia="Arial" w:hAnsi="Arial"/>
                <w:i/>
                <w:iCs/>
                <w:color w:val="2E75B6"/>
                <w:sz w:val="20"/>
                <w:szCs w:val="20"/>
              </w:rPr>
              <w:t xml:space="preserve">[ Insertar imagen ]</w:t>
            </w:r>
          </w:p>
        </w:tc>
      </w:tr>
    </w:tbl>
    <w:p>
      <w:pPr>
        <w:spacing w:after="60" w:before="60"/>
      </w:pPr>
      <w:r>
        <w:rPr>
          <w:rFonts w:ascii="Arial" w:cs="Arial" w:eastAsia="Arial" w:hAnsi="Arial"/>
        </w:rPr>
        <w:t xml:space="preserve"/>
      </w:r>
    </w:p>
    <w:p>
      <w:pPr>
        <w:pStyle w:val="Heading2"/>
        <w:spacing w:after="80" w:before="200"/>
      </w:pPr>
      <w:r>
        <w:rPr>
          <w:rFonts w:ascii="Arial" w:cs="Arial" w:eastAsia="Arial" w:hAnsi="Arial"/>
          <w:b/>
          <w:bCs/>
          <w:color w:val="2E75B6"/>
          <w:sz w:val="24"/>
          <w:szCs w:val="24"/>
        </w:rPr>
        <w:t xml:space="preserve">3.2  Contaminación con gránulos blancos de MAP/UREA</w:t>
      </w:r>
    </w:p>
    <w:p>
      <w:pPr>
        <w:spacing w:after="80" w:before="80"/>
        <w:jc w:val="both"/>
      </w:pPr>
      <w:r>
        <w:rPr>
          <w:rFonts w:ascii="Arial" w:cs="Arial" w:eastAsia="Arial" w:hAnsi="Arial"/>
          <w:sz w:val="22"/>
          <w:szCs w:val="22"/>
        </w:rPr>
        <w:t xml:space="preserve">Asimismo, se detectaron gránulos blancos correspondientes a mezclas de MAP y UREA. La presencia de urea en el material puede representar un riesgo adicional para el proceso de granulación, dado que la urea es higroscópica y puede alterar el comportamiento de humectación y cohesión del sistema.</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single" w:color="2E75B6" w:sz="6"/>
            </w:tcBorders>
            <w:shd w:fill="D6E4F7" w:val="clear"/>
            <w:tcMar>
              <w:top w:type="dxa" w:w="80"/>
              <w:left w:type="dxa" w:w="160"/>
              <w:bottom w:type="dxa" w:w="80"/>
              <w:right w:type="dxa" w:w="160"/>
            </w:tcMar>
          </w:tcPr>
          <w:p>
            <w:pPr>
              <w:jc w:val="center"/>
            </w:pPr>
            <w:r>
              <w:rPr>
                <w:rFonts w:ascii="Arial" w:cs="Arial" w:eastAsia="Arial" w:hAnsi="Arial"/>
                <w:b/>
                <w:bCs/>
                <w:color w:val="1F4E79"/>
                <w:sz w:val="20"/>
                <w:szCs w:val="20"/>
              </w:rPr>
              <w:t xml:space="preserve">Figura 3.2 — Gránulos blancos de MAP/UREA identificados en las muestras</w:t>
            </w:r>
          </w:p>
        </w:tc>
      </w:tr>
      <w:tr>
        <w:trPr>
          <w:trHeight w:val="2700" w:hRule="exact"/>
        </w:trPr>
        <w:tc>
          <w:tcPr>
            <w:tcW w:type="dxa" w:w="9360"/>
            <w:tcBorders>
              <w:top w:val="none" w:color="FFFFFF" w:sz="0"/>
              <w:left w:val="single" w:color="2E75B6" w:sz="6"/>
              <w:bottom w:val="single" w:color="2E75B6" w:sz="6"/>
              <w:right w:val="single" w:color="2E75B6" w:sz="6"/>
            </w:tcBorders>
            <w:shd w:fill="EEF4FB" w:val="clear"/>
            <w:tcMar>
              <w:top w:type="dxa" w:w="120"/>
              <w:left w:type="dxa" w:w="160"/>
              <w:bottom w:type="dxa" w:w="120"/>
              <w:right w:type="dxa" w:w="160"/>
            </w:tcMar>
            <w:vAlign w:val="center"/>
          </w:tcPr>
          <w:p>
            <w:pPr>
              <w:jc w:val="center"/>
            </w:pPr>
            <w:r>
              <w:rPr>
                <w:rFonts w:ascii="Arial" w:cs="Arial" w:eastAsia="Arial" w:hAnsi="Arial"/>
                <w:i/>
                <w:iCs/>
                <w:color w:val="2E75B6"/>
                <w:sz w:val="20"/>
                <w:szCs w:val="20"/>
              </w:rPr>
              <w:t xml:space="preserve">[ Insertar imagen ]</w:t>
            </w:r>
          </w:p>
        </w:tc>
      </w:tr>
    </w:tbl>
    <w:p>
      <w:pPr>
        <w:spacing w:after="60" w:before="60"/>
      </w:pPr>
      <w:r>
        <w:rPr>
          <w:rFonts w:ascii="Arial" w:cs="Arial" w:eastAsia="Arial" w:hAnsi="Arial"/>
        </w:rPr>
        <w:t xml:space="preserve"/>
      </w:r>
    </w:p>
    <w:p>
      <w:pPr>
        <w:pBdr>
          <w:bottom w:val="single" w:color="2E75B6" w:sz="6" w:space="1"/>
        </w:pBdr>
        <w:spacing w:after="120" w:before="120"/>
      </w:pPr>
    </w:p>
    <w:p>
      <w:pPr>
        <w:pStyle w:val="Heading1"/>
        <w:spacing w:after="120" w:before="280"/>
      </w:pPr>
      <w:r>
        <w:rPr>
          <w:rFonts w:ascii="Arial" w:cs="Arial" w:eastAsia="Arial" w:hAnsi="Arial"/>
          <w:b/>
          <w:bCs/>
          <w:color w:val="1F4E79"/>
          <w:sz w:val="28"/>
          <w:szCs w:val="28"/>
        </w:rPr>
        <w:t xml:space="preserve">4.  Análisis Técnico</w:t>
      </w:r>
    </w:p>
    <w:p>
      <w:pPr>
        <w:spacing w:after="80" w:before="80"/>
        <w:jc w:val="both"/>
      </w:pPr>
      <w:r>
        <w:rPr>
          <w:rFonts w:ascii="Arial" w:cs="Arial" w:eastAsia="Arial" w:hAnsi="Arial"/>
          <w:sz w:val="22"/>
          <w:szCs w:val="22"/>
        </w:rPr>
        <w:t xml:space="preserve">La granulación por aglomeración húmeda es un proceso de acreción que requiere, como condición fundamental, la disponibilidad de partículas finas que sirvan como núcleos o semillas. El líquido aglutinante forma puentes líquidos entre estas partículas, que al secarse generan los enlaces sólidos que dan resistencia al gránulo. La ausencia de suficiente fracción fina impide que este mecanismo opere.</w:t>
      </w:r>
    </w:p>
    <w:p>
      <w:pPr>
        <w:spacing w:after="80" w:before="80"/>
        <w:jc w:val="both"/>
      </w:pPr>
      <w:r>
        <w:rPr>
          <w:rFonts w:ascii="Arial" w:cs="Arial" w:eastAsia="Arial" w:hAnsi="Arial"/>
          <w:sz w:val="22"/>
          <w:szCs w:val="22"/>
        </w:rPr>
        <w:t xml:space="preserve">En el caso de la Muestra 1, la distribución granulométrica predominantemente gruesa hace que la cantidad de líquido requerida para crear puentes entre partículas sea excesiva; el sistema pasa directamente de un estado plástico a uno fluido (lodo) sin transitar por la ventana de granulación. La incorporación de producto seco adicional no corrige este problema, pues las partículas gruesas no actúan como absorbentes eficientes del líquido excedente.</w:t>
      </w:r>
    </w:p>
    <w:p>
      <w:pPr>
        <w:spacing w:after="80" w:before="80"/>
        <w:jc w:val="both"/>
      </w:pPr>
      <w:r>
        <w:rPr>
          <w:rFonts w:ascii="Arial" w:cs="Arial" w:eastAsia="Arial" w:hAnsi="Arial"/>
          <w:sz w:val="22"/>
          <w:szCs w:val="22"/>
        </w:rPr>
        <w:t xml:space="preserve">En el caso de la Muestra 2, la condición de masa húmeda al momento de la recepción implica que el material ya supera la humedad de proceso, descartando la posibilidad de granulación sin un tratamiento previo de secado y acondicionamiento.</w:t>
      </w:r>
    </w:p>
    <w:p>
      <w:pPr>
        <w:spacing w:after="60" w:before="60"/>
      </w:pPr>
      <w:r>
        <w:rPr>
          <w:rFonts w:ascii="Arial" w:cs="Arial" w:eastAsia="Arial" w:hAnsi="Arial"/>
        </w:rPr>
        <w:t xml:space="preserve"/>
      </w:r>
    </w:p>
    <w:p>
      <w:pPr>
        <w:pBdr>
          <w:bottom w:val="single" w:color="2E75B6" w:sz="6" w:space="1"/>
        </w:pBdr>
        <w:spacing w:after="120" w:before="120"/>
      </w:pPr>
    </w:p>
    <w:p>
      <w:pPr>
        <w:pStyle w:val="Heading1"/>
        <w:spacing w:after="120" w:before="280"/>
      </w:pPr>
      <w:r>
        <w:rPr>
          <w:rFonts w:ascii="Arial" w:cs="Arial" w:eastAsia="Arial" w:hAnsi="Arial"/>
          <w:b/>
          <w:bCs/>
          <w:color w:val="1F4E79"/>
          <w:sz w:val="28"/>
          <w:szCs w:val="28"/>
        </w:rPr>
        <w:t xml:space="preserve">5.  Conclusiones y Recomendaciones</w:t>
      </w:r>
    </w:p>
    <w:p>
      <w:pPr>
        <w:spacing w:after="80" w:before="80"/>
        <w:jc w:val="both"/>
      </w:pPr>
      <w:r>
        <w:rPr>
          <w:rFonts w:ascii="Arial" w:cs="Arial" w:eastAsia="Arial" w:hAnsi="Arial"/>
          <w:sz w:val="22"/>
          <w:szCs w:val="22"/>
        </w:rPr>
        <w:t xml:space="preserve">Las conclusiones derivadas de esta evaluación son las siguientes:</w:t>
      </w:r>
    </w:p>
    <w:p>
      <w:pPr>
        <w:pStyle w:val="ListParagraph"/>
        <w:numPr>
          <w:ilvl w:val="0"/>
          <w:numId w:val="2"/>
        </w:numPr>
        <w:spacing w:after="60" w:before="60"/>
      </w:pPr>
      <w:r>
        <w:rPr>
          <w:rFonts w:ascii="Arial" w:cs="Arial" w:eastAsia="Arial" w:hAnsi="Arial"/>
          <w:sz w:val="22"/>
          <w:szCs w:val="22"/>
        </w:rPr>
        <w:t xml:space="preserve">La granulación de la Muestra 1 no es factible en las condiciones actuales del material. La granulometría gruesa y la alta demanda de líquido impiden la formación de un granulado consistente y homogéneo.</w:t>
      </w:r>
    </w:p>
    <w:p>
      <w:pPr>
        <w:pStyle w:val="ListParagraph"/>
        <w:numPr>
          <w:ilvl w:val="0"/>
          <w:numId w:val="2"/>
        </w:numPr>
        <w:spacing w:after="60" w:before="60"/>
      </w:pPr>
      <w:r>
        <w:rPr>
          <w:rFonts w:ascii="Arial" w:cs="Arial" w:eastAsia="Arial" w:hAnsi="Arial"/>
          <w:sz w:val="22"/>
          <w:szCs w:val="22"/>
        </w:rPr>
        <w:t xml:space="preserve">La granulación de la Muestra 2 no es factible sin un tratamiento previo de secado. El material debe ser acondicionado hasta alcanzar la humedad de proceso antes de intentar cualquier prueba de granulación.</w:t>
      </w:r>
    </w:p>
    <w:p>
      <w:pPr>
        <w:pStyle w:val="ListParagraph"/>
        <w:numPr>
          <w:ilvl w:val="0"/>
          <w:numId w:val="2"/>
        </w:numPr>
        <w:spacing w:after="60" w:before="60"/>
      </w:pPr>
      <w:r>
        <w:rPr>
          <w:rFonts w:ascii="Arial" w:cs="Arial" w:eastAsia="Arial" w:hAnsi="Arial"/>
          <w:sz w:val="22"/>
          <w:szCs w:val="22"/>
        </w:rPr>
        <w:t xml:space="preserve">Se recomienda realizar un análisis granulométrico detallado del material de la Muestra 1 e implementar un proceso de molienda o clasificación para incrementar la fracción fina antes de repetir la prueba.</w:t>
      </w:r>
    </w:p>
    <w:p>
      <w:pPr>
        <w:pStyle w:val="ListParagraph"/>
        <w:numPr>
          <w:ilvl w:val="0"/>
          <w:numId w:val="2"/>
        </w:numPr>
        <w:spacing w:after="60" w:before="60"/>
      </w:pPr>
      <w:r>
        <w:rPr>
          <w:rFonts w:ascii="Arial" w:cs="Arial" w:eastAsia="Arial" w:hAnsi="Arial"/>
          <w:sz w:val="22"/>
          <w:szCs w:val="22"/>
        </w:rPr>
        <w:t xml:space="preserve">Se recomienda investigar el origen de la contaminación con DAP/MAP y MAP/UREA en ambas muestras y tomar medidas correctivas en la cadena de suministro.</w:t>
      </w:r>
    </w:p>
    <w:p>
      <w:pPr>
        <w:pStyle w:val="ListParagraph"/>
        <w:numPr>
          <w:ilvl w:val="0"/>
          <w:numId w:val="2"/>
        </w:numPr>
        <w:spacing w:after="60" w:before="60"/>
      </w:pPr>
      <w:r>
        <w:rPr>
          <w:rFonts w:ascii="Arial" w:cs="Arial" w:eastAsia="Arial" w:hAnsi="Arial"/>
          <w:sz w:val="22"/>
          <w:szCs w:val="22"/>
        </w:rPr>
        <w:t xml:space="preserve">Para la Muestra 2 se sugiere definir el protocolo de secado y acondicionamiento adecuado y remitir una nueva muestra con las condiciones físicas correctas para una evaluación posterior.</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1F4E79" w:sz="10"/>
              <w:bottom w:val="single" w:color="1F4E79" w:sz="10"/>
              <w:right w:val="single" w:color="1F4E79" w:sz="10"/>
            </w:tcBorders>
            <w:shd w:fill="D6E4F7" w:val="clear"/>
            <w:tcMar>
              <w:top w:type="dxa" w:w="180"/>
              <w:left w:type="dxa" w:w="240"/>
              <w:bottom w:type="dxa" w:w="180"/>
              <w:right w:type="dxa" w:w="240"/>
            </w:tcMar>
          </w:tcPr>
          <w:p>
            <w:pPr>
              <w:jc w:val="both"/>
            </w:pPr>
            <w:r>
              <w:rPr>
                <w:rFonts w:ascii="Arial" w:cs="Arial" w:eastAsia="Arial" w:hAnsi="Arial"/>
                <w:b/>
                <w:bCs/>
                <w:color w:val="1F4E79"/>
                <w:sz w:val="22"/>
                <w:szCs w:val="22"/>
              </w:rPr>
              <w:t xml:space="preserve">CONCLUSIÓN GENERAL: No es factible la granulación de ninguno de los dos productos en las condiciones actuales del material recibido. Se requieren ajustes en la granulometría de la Muestra 1 y en la humedad de la Muestra 2 antes de proceder con nuevas pruebas de granulación.</w:t>
            </w:r>
          </w:p>
        </w:tc>
      </w:tr>
    </w:tbl>
    <w:p>
      <w:pPr>
        <w:spacing w:after="60" w:before="60"/>
      </w:pPr>
      <w:r>
        <w:rPr>
          <w:rFonts w:ascii="Arial" w:cs="Arial" w:eastAsia="Arial" w:hAnsi="Arial"/>
        </w:rPr>
        <w:t xml:space="preserve"/>
      </w:r>
    </w:p>
    <w:p>
      <w:pPr>
        <w:pBdr>
          <w:bottom w:val="single" w:color="2E75B6" w:sz="6" w:space="1"/>
        </w:pBdr>
        <w:spacing w:after="120" w:before="120"/>
      </w:pP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single" w:color="1F4E79" w:sz="6"/>
              <w:left w:val="none" w:color="FFFFFF" w:sz="0"/>
              <w:bottom w:val="none" w:color="FFFFFF" w:sz="0"/>
              <w:right w:val="none" w:color="FFFFFF" w:sz="0"/>
            </w:tcBorders>
            <w:tcMar>
              <w:top w:type="dxa" w:w="120"/>
              <w:left w:type="dxa" w:w="0"/>
              <w:bottom w:type="dxa" w:w="80"/>
              <w:right w:type="dxa" w:w="0"/>
            </w:tcMar>
          </w:tcPr>
          <w:p>
            <w:pPr>
              <w:jc w:val="center"/>
            </w:pPr>
            <w:r>
              <w:rPr>
                <w:rFonts w:ascii="Arial" w:cs="Arial" w:eastAsia="Arial" w:hAnsi="Arial"/>
                <w:b/>
                <w:bCs/>
                <w:sz w:val="20"/>
                <w:szCs w:val="20"/>
              </w:rPr>
              <w:t xml:space="preserve">[Nombre del analista]</w:t>
            </w:r>
          </w:p>
          <w:p>
            <w:pPr>
              <w:jc w:val="center"/>
            </w:pPr>
            <w:r>
              <w:rPr>
                <w:rFonts w:ascii="Arial" w:cs="Arial" w:eastAsia="Arial" w:hAnsi="Arial"/>
                <w:color w:val="CCCCCC"/>
                <w:sz w:val="18"/>
                <w:szCs w:val="18"/>
              </w:rPr>
              <w:t xml:space="preserve">Área de I+D — Granulación</w:t>
            </w:r>
          </w:p>
        </w:tc>
        <w:tc>
          <w:tcPr>
            <w:tcW w:type="dxa" w:w="96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200"/>
            <w:tcBorders>
              <w:top w:val="single" w:color="1F4E79" w:sz="6"/>
              <w:left w:val="none" w:color="FFFFFF" w:sz="0"/>
              <w:bottom w:val="none" w:color="FFFFFF" w:sz="0"/>
              <w:right w:val="none" w:color="FFFFFF" w:sz="0"/>
            </w:tcBorders>
            <w:tcMar>
              <w:top w:type="dxa" w:w="120"/>
              <w:left w:type="dxa" w:w="0"/>
              <w:bottom w:type="dxa" w:w="80"/>
              <w:right w:type="dxa" w:w="0"/>
            </w:tcMar>
          </w:tcPr>
          <w:p>
            <w:pPr>
              <w:jc w:val="center"/>
            </w:pPr>
            <w:r>
              <w:rPr>
                <w:rFonts w:ascii="Arial" w:cs="Arial" w:eastAsia="Arial" w:hAnsi="Arial"/>
                <w:b/>
                <w:bCs/>
                <w:sz w:val="20"/>
                <w:szCs w:val="20"/>
              </w:rPr>
              <w:t xml:space="preserve">[Nombre del revisor / jefe de área]</w:t>
            </w:r>
          </w:p>
          <w:p>
            <w:pPr>
              <w:jc w:val="center"/>
            </w:pPr>
            <w:r>
              <w:rPr>
                <w:rFonts w:ascii="Arial" w:cs="Arial" w:eastAsia="Arial" w:hAnsi="Arial"/>
                <w:color w:val="CCCCCC"/>
                <w:sz w:val="18"/>
                <w:szCs w:val="18"/>
              </w:rPr>
              <w:t xml:space="preserve">Revisado y aprobado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CCCCCC"/>
        <w:sz w:val="18"/>
        <w:szCs w:val="18"/>
      </w:rPr>
      <w:t xml:space="preserve">Confidencial — uso interno</w:t>
    </w:r>
    <w:r>
      <w:rPr>
        <w:rFonts w:ascii="Arial" w:cs="Arial" w:eastAsia="Arial" w:hAnsi="Arial"/>
        <w:color w:val="CCCCCC"/>
        <w:sz w:val="18"/>
        <w:szCs w:val="18"/>
      </w:rPr>
      <w:t xml:space="preserve">    Página </w:t>
    </w:r>
    <w:r>
      <w:rPr>
        <w:color w:val="CCCCCC"/>
        <w:sz w:val="18"/>
        <w:szCs w:val="18"/>
      </w:rPr>
      <w:fldChar w:fldCharType="begin"/>
      <w:instrText xml:space="preserve">PAGE</w:instrText>
      <w:fldChar w:fldCharType="separate"/>
      <w:fldChar w:fldCharType="end"/>
    </w:r>
    <w:r>
      <w:rPr>
        <w:rFonts w:ascii="Arial" w:cs="Arial" w:eastAsia="Arial" w:hAnsi="Arial"/>
        <w:color w:val="CCCCCC"/>
        <w:sz w:val="18"/>
        <w:szCs w:val="18"/>
      </w:rPr>
      <w:t xml:space="preserve"> de </w:t>
    </w:r>
    <w:r>
      <w:rPr>
        <w:color w:val="CCCCC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W w:type="dxa" w:w="7160"/>
          <w:tcBorders>
            <w:top w:val="none" w:color="FFFFFF" w:sz="0"/>
            <w:left w:val="none" w:color="FFFFFF" w:sz="0"/>
            <w:bottom w:val="single" w:color="2E75B6" w:sz="6"/>
            <w:right w:val="none" w:color="FFFFFF" w:sz="0"/>
          </w:tcBorders>
        </w:tcPr>
        <w:p>
          <w:r>
            <w:rPr>
              <w:rFonts w:ascii="Arial" w:cs="Arial" w:eastAsia="Arial" w:hAnsi="Arial"/>
              <w:b/>
              <w:bCs/>
              <w:color w:val="1F4E79"/>
              <w:sz w:val="18"/>
              <w:szCs w:val="18"/>
            </w:rPr>
            <w:t xml:space="preserve">INFORME TÉCNICO — EVALUACIÓN DE GRANULACIÓN</w:t>
          </w:r>
        </w:p>
      </w:tc>
      <w:tc>
        <w:tcPr>
          <w:tcW w:type="dxa" w:w="2200"/>
          <w:tcBorders>
            <w:top w:val="none" w:color="FFFFFF" w:sz="0"/>
            <w:left w:val="none" w:color="FFFFFF" w:sz="0"/>
            <w:bottom w:val="single" w:color="2E75B6" w:sz="6"/>
            <w:right w:val="none" w:color="FFFFFF" w:sz="0"/>
          </w:tcBorders>
        </w:tcPr>
        <w:p>
          <w:pPr>
            <w:jc w:val="right"/>
          </w:pPr>
          <w:r>
            <w:rPr>
              <w:rFonts w:ascii="Arial" w:cs="Arial" w:eastAsia="Arial" w:hAnsi="Arial"/>
              <w:color w:val="CCCCCC"/>
              <w:sz w:val="18"/>
              <w:szCs w:val="18"/>
            </w:rPr>
            <w:t xml:space="preserve">Depto. de I+D / Granulación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outlineLvl w:val="0"/>
    </w:pPr>
    <w:rPr>
      <w:rFonts w:ascii="Arial" w:cs="Arial" w:eastAsia="Arial" w:hAnsi="Arial"/>
      <w:b/>
      <w:bCs/>
      <w:color w:val="1F4E79"/>
      <w:sz w:val="28"/>
      <w:szCs w:val="28"/>
    </w:rPr>
  </w:style>
  <w:style w:type="paragraph" w:styleId="Heading2">
    <w:name w:val="Heading 2"/>
    <w:basedOn w:val="Normal"/>
    <w:next w:val="Normal"/>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2026-06-01T15:17:47.067Z</dcterms:created>
  <dcterms:modified xsi:type="dcterms:W3CDTF">2026-06-01T15:17:47.067Z</dcterms:modified>
</cp:coreProperties>
</file>

<file path=docProps/custom.xml><?xml version="1.0" encoding="utf-8"?>
<Properties xmlns="http://schemas.openxmlformats.org/officeDocument/2006/custom-properties" xmlns:vt="http://schemas.openxmlformats.org/officeDocument/2006/docPropsVTypes"/>
</file>