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icha-de-produccion---nucleo-magnesio"/>
    <w:p>
      <w:pPr>
        <w:pStyle w:val="Heading1"/>
      </w:pPr>
      <w:r>
        <w:t xml:space="preserve">Ficha de Produccion - NUCLEO MAGNESIO</w:t>
      </w:r>
    </w:p>
    <w:p>
      <w:pPr>
        <w:pStyle w:val="Compact"/>
        <w:numPr>
          <w:ilvl w:val="0"/>
          <w:numId w:val="1001"/>
        </w:numPr>
      </w:pPr>
      <w:r>
        <w:t xml:space="preserve">Items: 208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2025-07-08 a 2025-07-08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20.000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2.759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1,61%</w:t>
            </w:r>
          </w:p>
        </w:tc>
        <w:tc>
          <w:tcPr/>
          <w:p>
            <w:pPr>
              <w:pStyle w:val="Compact"/>
            </w:pPr>
            <w:r>
              <w:t xml:space="preserve">2,102926471</w:t>
            </w:r>
          </w:p>
        </w:tc>
        <w:tc>
          <w:tcPr/>
          <w:p>
            <w:pPr>
              <w:pStyle w:val="Compact"/>
            </w:pPr>
            <w:r>
              <w:t xml:space="preserve">1,39%</w:t>
            </w:r>
          </w:p>
        </w:tc>
        <w:tc>
          <w:tcPr/>
          <w:p>
            <w:pPr>
              <w:pStyle w:val="Compact"/>
            </w:pPr>
            <w:r>
              <w:t xml:space="preserve">11,94%</w:t>
            </w:r>
          </w:p>
        </w:tc>
        <w:tc>
          <w:tcPr/>
          <w:p>
            <w:pPr>
              <w:pStyle w:val="Compact"/>
            </w:pPr>
            <w:r>
              <w:t xml:space="preserve">80,96%</w:t>
            </w:r>
          </w:p>
        </w:tc>
        <w:tc>
          <w:tcPr/>
          <w:p>
            <w:pPr>
              <w:pStyle w:val="Compact"/>
            </w:pPr>
            <w:r>
              <w:t xml:space="preserve">4,73%</w:t>
            </w:r>
          </w:p>
        </w:tc>
        <w:tc>
          <w:tcPr/>
          <w:p>
            <w:pPr>
              <w:pStyle w:val="Compact"/>
            </w:pPr>
            <w:r>
              <w:t xml:space="preserve">0,98%</w:t>
            </w:r>
          </w:p>
        </w:tc>
        <w:tc>
          <w:tcPr/>
          <w:p>
            <w:pPr>
              <w:pStyle w:val="Compact"/>
            </w:pPr>
            <w:r>
              <w:t xml:space="preserve">1,7%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13,0 (min 13,0 / max 13,0)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27,0 (min 27,0 / max 27,0)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26,0 (min 26,0 / max 26,0)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34,0 (min 34,0 / max 34,0)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100,0% con novedad. Tiempo con novedad 21,80 min/ton vs sin novedad N/D min/ton. Notas frecuentes: De 6.45 a 7.03 y de 7.20 a 7.47 sin mezcla (1)</w:t>
      </w:r>
    </w:p>
    <w:p>
      <w:pPr>
        <w:pStyle w:val="Compact"/>
        <w:numPr>
          <w:ilvl w:val="0"/>
          <w:numId w:val="1002"/>
        </w:numPr>
      </w:pPr>
      <w:r>
        <w:t xml:space="preserve">PLANTA 2: N/D con novedad. Tiempo con novedad N/D min/ton vs sin novedad N/D min/ton. Notas frecuentes: Sin detalle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Wilmar (1)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</w:tr>
    </w:tbl>
    <w:bookmarkEnd w:id="14"/>
    <w:bookmarkStart w:id="15" w:name="alertas"/>
    <w:p>
      <w:pPr>
        <w:pStyle w:val="Heading2"/>
      </w:pPr>
      <w:r>
        <w:t xml:space="preserve">Alertas</w:t>
      </w:r>
    </w:p>
    <w:p>
      <w:pPr>
        <w:pStyle w:val="Compact"/>
        <w:numPr>
          <w:ilvl w:val="0"/>
          <w:numId w:val="1003"/>
        </w:numPr>
      </w:pPr>
      <w:r>
        <w:t xml:space="preserve">PLANTA 1: solo 1 turnos; estadisticas poco representativas.</w:t>
      </w:r>
    </w:p>
    <w:p>
      <w:pPr>
        <w:pStyle w:val="Compact"/>
        <w:numPr>
          <w:ilvl w:val="0"/>
          <w:numId w:val="1003"/>
        </w:numPr>
      </w:pPr>
      <w:r>
        <w:t xml:space="preserve">PLANTA 2: solo 0 turnos; estadisticas poco representativas.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