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042f87c6de1dfb35cb9d8eac99d53a07679f1b8"/>
    <w:p>
      <w:pPr>
        <w:pStyle w:val="Heading1"/>
      </w:pPr>
      <w:r>
        <w:t xml:space="preserve">ACTA DE NO APLICABILIDAD: MOLIENDA DE MATERIA PRIMA</w:t>
      </w:r>
    </w:p>
    <w:p>
      <w:pPr>
        <w:pStyle w:val="FirstParagraph"/>
      </w:pPr>
      <w:r>
        <w:t xml:space="preserve">CÓDIGO | VERSIÓN | VIGENCIA | PRÓXIMA REVISIÓN |</w:t>
      </w:r>
      <w:r>
        <w:br/>
      </w:r>
      <w:r>
        <w:br/>
      </w:r>
      <w:r>
        <w:br/>
      </w:r>
      <w:r>
        <w:br/>
      </w:r>
      <w:r>
        <w:br/>
      </w:r>
      <w:r>
        <w:br/>
      </w:r>
      <w:r>
        <w:rPr>
          <w:b/>
          <w:bCs/>
        </w:rPr>
        <w:t xml:space="preserve">CGC-ACTA-NA-3.03</w:t>
      </w:r>
      <w:r>
        <w:t xml:space="preserve"> </w:t>
      </w:r>
      <w:r>
        <w:t xml:space="preserve">|</w:t>
      </w:r>
      <w:r>
        <w:t xml:space="preserve"> </w:t>
      </w:r>
      <w:r>
        <w:rPr>
          <w:b/>
          <w:bCs/>
        </w:rPr>
        <w:t xml:space="preserve">01</w:t>
      </w:r>
      <w:r>
        <w:t xml:space="preserve"> </w:t>
      </w:r>
      <w:r>
        <w:t xml:space="preserve">|</w:t>
      </w:r>
      <w:r>
        <w:t xml:space="preserve"> </w:t>
      </w:r>
      <w:r>
        <w:rPr>
          <w:b/>
          <w:bCs/>
        </w:rPr>
        <w:t xml:space="preserve">2026-03-05</w:t>
      </w:r>
      <w:r>
        <w:t xml:space="preserve"> </w:t>
      </w:r>
      <w:r>
        <w:t xml:space="preserve">|</w:t>
      </w:r>
      <w:r>
        <w:t xml:space="preserve"> </w:t>
      </w:r>
      <w:r>
        <w:rPr>
          <w:b/>
          <w:bCs/>
        </w:rPr>
        <w:t xml:space="preserve">12 meses o ante cambio de proceso</w:t>
      </w:r>
      <w:r>
        <w:t xml:space="preserve"> </w:t>
      </w:r>
      <w:r>
        <w:t xml:space="preserve">|</w:t>
      </w:r>
    </w:p>
    <w:p>
      <w:r>
        <w:pict>
          <v:rect style="width:0;height:1.5pt" o:hralign="center" o:hrstd="t" o:hr="t"/>
        </w:pict>
      </w:r>
    </w:p>
    <w:bookmarkStart w:id="9" w:name="objetivo"/>
    <w:p>
      <w:pPr>
        <w:pStyle w:val="Heading2"/>
      </w:pPr>
      <w:r>
        <w:t xml:space="preserve">1. OBJETIVO</w:t>
      </w:r>
    </w:p>
    <w:p>
      <w:pPr>
        <w:pStyle w:val="FirstParagraph"/>
      </w:pPr>
      <w:r>
        <w:t xml:space="preserve">Dejar constancia formal y documentada de la</w:t>
      </w:r>
      <w:r>
        <w:t xml:space="preserve"> </w:t>
      </w:r>
      <w:r>
        <w:rPr>
          <w:b/>
          <w:bCs/>
        </w:rPr>
        <w:t xml:space="preserve">No Aplicabilidad</w:t>
      </w:r>
      <w:r>
        <w:t xml:space="preserve"> </w:t>
      </w:r>
      <w:r>
        <w:t xml:space="preserve">del requisito</w:t>
      </w:r>
      <w:r>
        <w:t xml:space="preserve"> </w:t>
      </w:r>
      <w:r>
        <w:t xml:space="preserve">“Molienda de Materia Prima”</w:t>
      </w:r>
      <w:r>
        <w:t xml:space="preserve"> </w:t>
      </w:r>
      <w:r>
        <w:t xml:space="preserve">(numeral 3.03 del Anexo I-B de pv0) para la operación actual de manufactura de</w:t>
      </w:r>
      <w:r>
        <w:t xml:space="preserve"> </w:t>
      </w:r>
      <w:r>
        <w:rPr>
          <w:b/>
          <w:bCs/>
        </w:rPr>
        <w:t xml:space="preserve">CALFERQUIM S.A.S.</w:t>
      </w:r>
    </w:p>
    <w:bookmarkEnd w:id="9"/>
    <w:bookmarkStart w:id="10" w:name="alcance"/>
    <w:p>
      <w:pPr>
        <w:pStyle w:val="Heading2"/>
      </w:pPr>
      <w:r>
        <w:t xml:space="preserve">2. ALCANCE</w:t>
      </w:r>
    </w:p>
    <w:p>
      <w:pPr>
        <w:pStyle w:val="FirstParagraph"/>
      </w:pPr>
      <w:r>
        <w:t xml:space="preserve">Este documento aplica al módulo de Producción del Sistema de Gestión de Calidad y exonera a la empresa de mantener el POE 3.03 activo mientras no se implemente el proceso de molienda de materias primas.</w:t>
      </w:r>
    </w:p>
    <w:bookmarkEnd w:id="10"/>
    <w:bookmarkStart w:id="11" w:name="fundamento-normativo"/>
    <w:p>
      <w:pPr>
        <w:pStyle w:val="Heading2"/>
      </w:pPr>
      <w:r>
        <w:t xml:space="preserve">3. FUNDAMENTO NORMATIVO</w:t>
      </w:r>
    </w:p>
    <w:p>
      <w:pPr>
        <w:pStyle w:val="Compact"/>
        <w:numPr>
          <w:ilvl w:val="0"/>
          <w:numId w:val="1001"/>
        </w:numPr>
      </w:pPr>
      <w:r>
        <w:rPr>
          <w:b/>
          <w:bCs/>
        </w:rPr>
        <w:t xml:space="preserve">Resolución ICA pv0 (Propuesta):</w:t>
      </w:r>
      <w:r>
        <w:t xml:space="preserve"> </w:t>
      </w:r>
      <w:r>
        <w:t xml:space="preserve">Anexo I-B, Numeral 3.03</w:t>
      </w:r>
      <w:r>
        <w:t xml:space="preserve"> </w:t>
      </w:r>
      <w:r>
        <w:t xml:space="preserve">“Molienda de Materia Prima”</w:t>
      </w:r>
      <w:r>
        <w:t xml:space="preserve">.</w:t>
      </w:r>
    </w:p>
    <w:p>
      <w:pPr>
        <w:pStyle w:val="Compact"/>
        <w:numPr>
          <w:ilvl w:val="0"/>
          <w:numId w:val="1001"/>
        </w:numPr>
      </w:pPr>
      <w:r>
        <w:rPr>
          <w:b/>
          <w:bCs/>
        </w:rPr>
        <w:t xml:space="preserve">Resolución ICA 150 de 2003:</w:t>
      </w:r>
      <w:r>
        <w:t xml:space="preserve"> </w:t>
      </w:r>
      <w:r>
        <w:t xml:space="preserve">Literal aplicable.</w:t>
      </w:r>
    </w:p>
    <w:bookmarkEnd w:id="11"/>
    <w:bookmarkStart w:id="12" w:name="X3922a4ecea0f240bdb369f28c5320b8ce92babc"/>
    <w:p>
      <w:pPr>
        <w:pStyle w:val="Heading2"/>
      </w:pPr>
      <w:r>
        <w:t xml:space="preserve">4. JUSTIFICACIÓN TÉCNICA DE NO APLICABILIDAD</w:t>
      </w:r>
    </w:p>
    <w:p>
      <w:pPr>
        <w:pStyle w:val="FirstParagraph"/>
      </w:pPr>
      <w:r>
        <w:t xml:space="preserve">La empresa</w:t>
      </w:r>
      <w:r>
        <w:t xml:space="preserve"> </w:t>
      </w:r>
      <w:r>
        <w:rPr>
          <w:b/>
          <w:bCs/>
        </w:rPr>
        <w:t xml:space="preserve">CALFERQUIM S.A.S.</w:t>
      </w:r>
      <w:r>
        <w:t xml:space="preserve"> </w:t>
      </w:r>
      <w:r>
        <w:t xml:space="preserve">opera actualmente bajo un modelo de</w:t>
      </w:r>
      <w:r>
        <w:t xml:space="preserve"> </w:t>
      </w:r>
      <w:r>
        <w:rPr>
          <w:b/>
          <w:bCs/>
        </w:rPr>
        <w:t xml:space="preserve">mezcla física</w:t>
      </w:r>
      <w:r>
        <w:t xml:space="preserve"> </w:t>
      </w:r>
      <w:r>
        <w:t xml:space="preserve">de fertilizantes y acondicionadores de suelo utilizando materias primas que ingresan con la granulometría ya definida por el proveedor. Los procesos que se ejecutan son:</w:t>
      </w:r>
    </w:p>
    <w:p>
      <w:pPr>
        <w:pStyle w:val="Compact"/>
        <w:numPr>
          <w:ilvl w:val="0"/>
          <w:numId w:val="1002"/>
        </w:numPr>
      </w:pPr>
      <w:r>
        <w:t xml:space="preserve">Recepción y control de calidad de materias primas</w:t>
      </w:r>
    </w:p>
    <w:p>
      <w:pPr>
        <w:pStyle w:val="Compact"/>
        <w:numPr>
          <w:ilvl w:val="0"/>
          <w:numId w:val="1002"/>
        </w:numPr>
      </w:pPr>
      <w:r>
        <w:t xml:space="preserve">Mezcla / Blending</w:t>
      </w:r>
    </w:p>
    <w:p>
      <w:pPr>
        <w:pStyle w:val="Compact"/>
        <w:numPr>
          <w:ilvl w:val="0"/>
          <w:numId w:val="1002"/>
        </w:numPr>
      </w:pPr>
      <w:r>
        <w:t xml:space="preserve">Granulación simple</w:t>
      </w:r>
    </w:p>
    <w:p>
      <w:pPr>
        <w:pStyle w:val="Compact"/>
        <w:numPr>
          <w:ilvl w:val="0"/>
          <w:numId w:val="1002"/>
        </w:numPr>
      </w:pPr>
      <w:r>
        <w:t xml:space="preserve">Envasado</w:t>
      </w:r>
    </w:p>
    <w:p>
      <w:pPr>
        <w:pStyle w:val="FirstParagraph"/>
      </w:pPr>
      <w:r>
        <w:rPr>
          <w:b/>
          <w:bCs/>
        </w:rPr>
        <w:t xml:space="preserve">NO SE EJECUTA</w:t>
      </w:r>
      <w:r>
        <w:t xml:space="preserve"> </w:t>
      </w:r>
      <w:r>
        <w:t xml:space="preserve">ninguna etapa de molienda o reducción granulométrica de materias primas al interior de la planta, ni se cuenta con el equipo correspondiente (molino de martillos, molino de bolas, molino de rodillos u otro).</w:t>
      </w:r>
    </w:p>
    <w:p>
      <w:pPr>
        <w:pStyle w:val="BodyText"/>
      </w:pPr>
      <w:r>
        <w:t xml:space="preserve">Las formulaciones activas de los productos registrados emplean materias primas adquiridas con especificaciones granulométricas que cumplen directamente los requerimientos de calidad declarados en el Registro ICA, sin necesidad de proceso de molienda adicional.</w:t>
      </w:r>
    </w:p>
    <w:bookmarkEnd w:id="12"/>
    <w:bookmarkStart w:id="13" w:name="evidencias-de-soporte"/>
    <w:p>
      <w:pPr>
        <w:pStyle w:val="Heading2"/>
      </w:pPr>
      <w:r>
        <w:t xml:space="preserve">5. EVIDENCIAS DE SOPORTE</w:t>
      </w:r>
    </w:p>
    <w:p>
      <w:pPr>
        <w:pStyle w:val="Compact"/>
        <w:numPr>
          <w:ilvl w:val="0"/>
          <w:numId w:val="1003"/>
        </w:numPr>
      </w:pPr>
      <w:r>
        <w:rPr>
          <w:b/>
          <w:bCs/>
        </w:rPr>
        <w:t xml:space="preserve">Diagrama de Flujo de Proceso:</w:t>
      </w:r>
      <w:r>
        <w:t xml:space="preserve"> </w:t>
      </w:r>
      <w:r>
        <w:t xml:space="preserve">No incluye etapa de molienda de materia prima.</w:t>
      </w:r>
    </w:p>
    <w:p>
      <w:pPr>
        <w:pStyle w:val="Compact"/>
        <w:numPr>
          <w:ilvl w:val="0"/>
          <w:numId w:val="1003"/>
        </w:numPr>
      </w:pPr>
      <w:r>
        <w:rPr>
          <w:b/>
          <w:bCs/>
        </w:rPr>
        <w:t xml:space="preserve">Inventario de Equipos:</w:t>
      </w:r>
      <w:r>
        <w:t xml:space="preserve"> </w:t>
      </w:r>
      <w:r>
        <w:t xml:space="preserve">No registra equipo de molienda activo para materias primas.</w:t>
      </w:r>
    </w:p>
    <w:p>
      <w:pPr>
        <w:pStyle w:val="Compact"/>
        <w:numPr>
          <w:ilvl w:val="0"/>
          <w:numId w:val="1003"/>
        </w:numPr>
      </w:pPr>
      <w:r>
        <w:rPr>
          <w:b/>
          <w:bCs/>
        </w:rPr>
        <w:t xml:space="preserve">Lista Maestra de Equipos:</w:t>
      </w:r>
      <w:r>
        <w:t xml:space="preserve"> </w:t>
      </w:r>
      <w:r>
        <w:t xml:space="preserve">Verificación física de planta confirma ausencia de molinos en operación.</w:t>
      </w:r>
    </w:p>
    <w:p>
      <w:pPr>
        <w:pStyle w:val="Compact"/>
        <w:numPr>
          <w:ilvl w:val="0"/>
          <w:numId w:val="1003"/>
        </w:numPr>
      </w:pPr>
      <w:r>
        <w:rPr>
          <w:b/>
          <w:bCs/>
        </w:rPr>
        <w:t xml:space="preserve">Especificaciones de Materias Primas:</w:t>
      </w:r>
      <w:r>
        <w:t xml:space="preserve"> </w:t>
      </w:r>
      <w:r>
        <w:t xml:space="preserve">Las fichas técnicas de proveedores certifican granulometría conforme a formulación.</w:t>
      </w:r>
    </w:p>
    <w:bookmarkEnd w:id="13"/>
    <w:bookmarkStart w:id="14" w:name="criterio-de-reactivación"/>
    <w:p>
      <w:pPr>
        <w:pStyle w:val="Heading2"/>
      </w:pPr>
      <w:r>
        <w:t xml:space="preserve">6. CRITERIO DE REACTIVACIÓN</w:t>
      </w:r>
    </w:p>
    <w:p>
      <w:pPr>
        <w:pStyle w:val="FirstParagraph"/>
      </w:pPr>
      <w:r>
        <w:rPr>
          <w:b/>
          <w:bCs/>
        </w:rPr>
        <w:t xml:space="preserve">SI</w:t>
      </w:r>
      <w:r>
        <w:t xml:space="preserve"> </w:t>
      </w:r>
      <w:r>
        <w:t xml:space="preserve">en el futuro la empresa incorpora el proceso de molienda de materia prima como parte de su operación:</w:t>
      </w:r>
      <w:r>
        <w:t xml:space="preserve"> </w:t>
      </w:r>
      <w:r>
        <w:t xml:space="preserve">1. Esta Acta pierde vigencia automáticamente.</w:t>
      </w:r>
      <w:r>
        <w:t xml:space="preserve"> </w:t>
      </w:r>
      <w:r>
        <w:t xml:space="preserve">2. Se</w:t>
      </w:r>
      <w:r>
        <w:t xml:space="preserve"> </w:t>
      </w:r>
      <w:r>
        <w:rPr>
          <w:b/>
          <w:bCs/>
        </w:rPr>
        <w:t xml:space="preserve">debe</w:t>
      </w:r>
      <w:r>
        <w:t xml:space="preserve"> </w:t>
      </w:r>
      <w:r>
        <w:t xml:space="preserve">crear o reactivar el</w:t>
      </w:r>
      <w:r>
        <w:t xml:space="preserve"> </w:t>
      </w:r>
      <w:r>
        <w:rPr>
          <w:rStyle w:val="VerbatimChar"/>
        </w:rPr>
        <w:t xml:space="preserve">POE_3.03_Molienda_Primaria_V1.md</w:t>
      </w:r>
      <w:r>
        <w:t xml:space="preserve"> </w:t>
      </w:r>
      <w:r>
        <w:t xml:space="preserve">con sus formatos y registros correspondientes.</w:t>
      </w:r>
      <w:r>
        <w:t xml:space="preserve"> </w:t>
      </w:r>
      <w:r>
        <w:t xml:space="preserve">3.</w:t>
      </w:r>
      <w:r>
        <w:t xml:space="preserve"> </w:t>
      </w:r>
      <w:r>
        <w:rPr>
          <w:b/>
          <w:bCs/>
        </w:rPr>
        <w:t xml:space="preserve">No se permitirá</w:t>
      </w:r>
      <w:r>
        <w:t xml:space="preserve"> </w:t>
      </w:r>
      <w:r>
        <w:t xml:space="preserve">operar el equipo hasta que el POE esté aprobado y vigente.</w:t>
      </w:r>
    </w:p>
    <w:bookmarkEnd w:id="14"/>
    <w:bookmarkStart w:id="15" w:name="control-de-cambios"/>
    <w:p>
      <w:pPr>
        <w:pStyle w:val="Heading2"/>
      </w:pPr>
      <w:r>
        <w:t xml:space="preserve">7. CONTROL DE CAMBIOS</w:t>
      </w:r>
    </w:p>
    <w:p>
      <w:pPr>
        <w:pStyle w:val="FirstParagraph"/>
      </w:pPr>
      <w:r>
        <w:t xml:space="preserve">Versión | Fecha | Descripción |</w:t>
      </w:r>
      <w:r>
        <w:br/>
      </w:r>
      <w:r>
        <w:br/>
      </w:r>
    </w:p>
    <w:p>
      <w:pPr>
        <w:pStyle w:val="BodyText"/>
      </w:pPr>
      <w:r>
        <w:t xml:space="preserve">|:—|</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2026-03-05T14:16:30Z</dcterms:created>
  <dcterms:modified xsi:type="dcterms:W3CDTF">2026-03-05T14:16:30Z</dcterms:modified>
</cp:coreProperties>
</file>

<file path=docProps/custom.xml><?xml version="1.0" encoding="utf-8"?>
<Properties xmlns="http://schemas.openxmlformats.org/officeDocument/2006/custom-properties" xmlns:vt="http://schemas.openxmlformats.org/officeDocument/2006/docPropsVTypes"/>
</file>