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360" w:after="80"/>
        <w:rPr/>
      </w:pPr>
      <w:bookmarkStart w:id="0" w:name="X22137ec03854949b13aebb135eb05c9f0163729"/>
      <w:r>
        <w:rPr/>
        <w:t>PROCEDIMIENTO OPERATIVO ESTANDARIZADO: GESTIÓN Y ALMACENAMIENTO DE CONTRAMUESTRAS</w:t>
      </w:r>
    </w:p>
    <w:p>
      <w:pPr>
        <w:pStyle w:val="FirstParagraph"/>
        <w:rPr/>
      </w:pPr>
      <w:r>
        <w:rPr/>
        <w:t>CÓDIGO | VERSIÓN | VIGENCIA | PRÓXIMA REVISIÓN |</w:t>
        <w:br/>
        <w:br/>
        <w:br/>
        <w:br/>
        <w:br/>
        <w:br/>
      </w:r>
      <w:r>
        <w:rPr>
          <w:b/>
          <w:bCs/>
        </w:rPr>
        <w:t>CGC-POE-3.14</w:t>
      </w:r>
      <w:r>
        <w:rPr/>
        <w:t xml:space="preserve"> | </w:t>
      </w:r>
      <w:r>
        <w:rPr>
          <w:b/>
          <w:bCs/>
        </w:rPr>
        <w:t>01</w:t>
      </w:r>
      <w:r>
        <w:rPr/>
        <w:t xml:space="preserve"> | </w:t>
      </w:r>
      <w:r>
        <w:rPr>
          <w:b/>
          <w:bCs/>
        </w:rPr>
        <w:t>2026-02-17</w:t>
      </w:r>
      <w:r>
        <w:rPr/>
        <w:t xml:space="preserve"> | </w:t>
      </w:r>
      <w:r>
        <w:rPr>
          <w:b/>
          <w:bCs/>
        </w:rPr>
        <w:t>12 meses o ante cambio regulatorio</w:t>
      </w:r>
      <w:r>
        <w:rPr/>
        <w:t xml:space="preserve"> |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1" w:name="objetivo"/>
      <w:r>
        <w:rPr/>
        <w:t>1. OBJETIVO</w:t>
      </w:r>
    </w:p>
    <w:p>
      <w:pPr>
        <w:pStyle w:val="FirstParagraph"/>
        <w:rPr/>
      </w:pPr>
      <w:bookmarkStart w:id="2" w:name="objetivo"/>
      <w:r>
        <w:rPr/>
        <w:t>Garantizar la disponibilidad de una muestra de retención (contramuestra) representativa de cada lote comercializado, debidamente identificada y almacenada bajo condiciones controladas, para permitir la repetición de análisis en caso de reclamos, investigaciones técnicas o requerimientos de la autoridad competente (ICA).</w:t>
      </w:r>
      <w:bookmarkEnd w:id="2"/>
    </w:p>
    <w:p>
      <w:pPr>
        <w:pStyle w:val="Heading2"/>
        <w:rPr/>
      </w:pPr>
      <w:bookmarkStart w:id="3" w:name="alcance"/>
      <w:r>
        <w:rPr/>
        <w:t>2. ALCANCE</w:t>
      </w:r>
    </w:p>
    <w:p>
      <w:pPr>
        <w:pStyle w:val="FirstParagraph"/>
        <w:rPr/>
      </w:pPr>
      <w:r>
        <w:rPr/>
        <w:t xml:space="preserve">Este procedimiento aplica al 100% de los lotes de Producto Terminado liberados por </w:t>
      </w:r>
      <w:r>
        <w:rPr>
          <w:b/>
          <w:bCs/>
        </w:rPr>
        <w:t>CALFERQUIM S.A.S.</w:t>
      </w:r>
      <w:r>
        <w:rPr/>
        <w:t>, así como a las materias primas críticas que requieran custodia.</w:t>
      </w:r>
      <w:bookmarkEnd w:id="3"/>
    </w:p>
    <w:p>
      <w:pPr>
        <w:pStyle w:val="Heading2"/>
        <w:rPr/>
      </w:pPr>
      <w:bookmarkStart w:id="4" w:name="definiciones"/>
      <w:r>
        <w:rPr/>
        <w:t>3. DEFINICIONES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Contramuestra (Muestra de Retención):</w:t>
      </w:r>
      <w:r>
        <w:rPr/>
        <w:t xml:space="preserve"> Cantidad de material reservado del mismo lote del producto distribuido, tomado de tal manera que sea estadísticamente representativo.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Custodia:</w:t>
      </w:r>
      <w:r>
        <w:rPr/>
        <w:t xml:space="preserve"> Control estricto de acceso y manipulación para asegurar que la muestra no ha sido alterada desde su toma.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Vida Útil:</w:t>
      </w:r>
      <w:r>
        <w:rPr/>
        <w:t xml:space="preserve"> Periodo durante el cual el producto mantiene sus especificaciones de calidad bajo condiciones de almacenamiento recomendadas.</w:t>
      </w:r>
      <w:bookmarkEnd w:id="4"/>
    </w:p>
    <w:p>
      <w:pPr>
        <w:pStyle w:val="Heading2"/>
        <w:rPr/>
      </w:pPr>
      <w:bookmarkStart w:id="5" w:name="documentos-de-referencia"/>
      <w:r>
        <w:rPr/>
        <w:t>4. DOCUMENTOS DE REFERENCIA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Resolución ICA pv0 (Propuesta):</w:t>
      </w:r>
      <w:r>
        <w:rPr/>
        <w:t xml:space="preserve"> Anexo I-B, Pilar 6 “Almacenamiento de Contramuestras”.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Resolución 150 de 2003:</w:t>
      </w:r>
      <w:r>
        <w:rPr/>
        <w:t xml:space="preserve"> Artículo 14 (Control de Calidad).</w:t>
      </w:r>
      <w:bookmarkEnd w:id="5"/>
    </w:p>
    <w:p>
      <w:pPr>
        <w:pStyle w:val="Heading2"/>
        <w:rPr/>
      </w:pPr>
      <w:bookmarkStart w:id="6" w:name="X7d026e48587bff76c4ba88e8e147799b42f3a9f"/>
      <w:r>
        <w:rPr/>
        <w:t>4.1. CONSIDERACIONES GMP (BUENAS PRÁCTICAS DE MANUFACTURA)</w:t>
      </w:r>
    </w:p>
    <w:p>
      <w:pPr>
        <w:pStyle w:val="FirstParagraph"/>
        <w:rPr/>
      </w:pPr>
      <w:r>
        <w:rPr/>
        <w:t xml:space="preserve">El área de contramuestras es una zona restringida. </w:t>
      </w:r>
      <w:r>
        <w:rPr>
          <w:b/>
          <w:bCs/>
        </w:rPr>
        <w:t>Se prohíbe</w:t>
      </w:r>
      <w:r>
        <w:rPr/>
        <w:t xml:space="preserve"> el ingreso de personal no autorizado o la extracción de muestras sin la firma del Jefe de Calidad. Las condiciones de almacenamiento (Temperatura y Humedad) </w:t>
      </w:r>
      <w:r>
        <w:rPr>
          <w:b/>
          <w:bCs/>
        </w:rPr>
        <w:t>deben</w:t>
      </w:r>
      <w:r>
        <w:rPr/>
        <w:t xml:space="preserve"> monitorearse y registrarse diariamente para demostrar que las muestras no se han degradado por causas ambientales.</w:t>
      </w:r>
      <w:bookmarkEnd w:id="6"/>
    </w:p>
    <w:p>
      <w:pPr>
        <w:pStyle w:val="Heading2"/>
        <w:rPr/>
      </w:pPr>
      <w:bookmarkStart w:id="7" w:name="X89142c71e170216e29a3051bfe72221f0d57b2b"/>
      <w:r>
        <w:rPr/>
        <w:t>5. RESPONSABILIDADES Y POLÍTICAS (Estilo Opus)</w:t>
      </w:r>
    </w:p>
    <w:p>
      <w:pPr>
        <w:pStyle w:val="Heading3"/>
        <w:rPr/>
      </w:pPr>
      <w:bookmarkStart w:id="8" w:name="jefe-de-control-de-calidad"/>
      <w:r>
        <w:rPr/>
        <w:t>5.1. Jefe de Control de Calidad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Debe</w:t>
      </w:r>
      <w:r>
        <w:rPr/>
        <w:t xml:space="preserve"> asegurar que la contramuestra se tome del </w:t>
      </w:r>
      <w:r>
        <w:rPr>
          <w:i/>
          <w:iCs/>
        </w:rPr>
        <w:t>producto final envasado</w:t>
      </w:r>
      <w:r>
        <w:rPr/>
        <w:t xml:space="preserve"> para incluir el efecto del proceso de envase.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Es responsable</w:t>
      </w:r>
      <w:r>
        <w:rPr/>
        <w:t xml:space="preserve"> de la custodia física de la llave del archivo de muestras (Muestroteca).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Tiene la autoridad</w:t>
      </w:r>
      <w:r>
        <w:rPr/>
        <w:t xml:space="preserve"> para desechar las muestras una vez cumplido su tiempo de retención legal, previa acta de destrucción.</w:t>
      </w:r>
      <w:bookmarkEnd w:id="8"/>
    </w:p>
    <w:p>
      <w:pPr>
        <w:pStyle w:val="Heading3"/>
        <w:rPr/>
      </w:pPr>
      <w:bookmarkStart w:id="9" w:name="analista-de-laboratorio"/>
      <w:r>
        <w:rPr/>
        <w:t>5.2. Analista de Laboratorio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Debe</w:t>
      </w:r>
      <w:r>
        <w:rPr/>
        <w:t xml:space="preserve"> verificar que el envase de la contramuestra sea hermético e inerte (vidrio ámbar o polietileno de alta densidad) para evitar alteraciones.</w:t>
      </w:r>
      <w:bookmarkEnd w:id="7"/>
      <w:bookmarkEnd w:id="9"/>
    </w:p>
    <w:p>
      <w:pPr>
        <w:pStyle w:val="Heading2"/>
        <w:rPr/>
      </w:pPr>
      <w:bookmarkStart w:id="10" w:name="procedimiento-estilo-glm-4.7"/>
      <w:r>
        <w:rPr/>
        <w:t>6. PROCEDIMIENTO (Estilo GLM-4.7)</w:t>
      </w:r>
    </w:p>
    <w:p>
      <w:pPr>
        <w:pStyle w:val="Heading3"/>
        <w:rPr/>
      </w:pPr>
      <w:bookmarkStart w:id="11" w:name="toma-de-muestra"/>
      <w:r>
        <w:rPr/>
        <w:t>6.1. Toma de Muestra</w:t>
      </w:r>
    </w:p>
    <w:p>
      <w:pPr>
        <w:pStyle w:val="Compact"/>
        <w:numPr>
          <w:ilvl w:val="0"/>
          <w:numId w:val="16"/>
        </w:numPr>
        <w:rPr/>
      </w:pPr>
      <w:r>
        <w:rPr>
          <w:b/>
          <w:bCs/>
        </w:rPr>
        <w:t>ANALISTA:</w:t>
      </w:r>
      <w:r>
        <w:rPr/>
        <w:t xml:space="preserve"> </w:t>
      </w:r>
      <w:r>
        <w:rPr>
          <w:b/>
          <w:bCs/>
        </w:rPr>
        <w:t>Tomar</w:t>
      </w:r>
      <w:r>
        <w:rPr/>
        <w:t xml:space="preserve"> aleatoriamente unidades del principio, medio y fin del proceso de envasado (POE 3.10).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ANALISTA:</w:t>
      </w:r>
      <w:r>
        <w:rPr/>
        <w:t xml:space="preserve"> </w:t>
      </w:r>
      <w:r>
        <w:rPr>
          <w:b/>
          <w:bCs/>
        </w:rPr>
        <w:t>Componer</w:t>
      </w:r>
      <w:r>
        <w:rPr/>
        <w:t xml:space="preserve"> una muestra final de mínimo </w:t>
      </w:r>
      <w:r>
        <w:rPr>
          <w:b/>
          <w:bCs/>
        </w:rPr>
        <w:t>500 gramos</w:t>
      </w:r>
      <w:r>
        <w:rPr/>
        <w:t xml:space="preserve"> (o cantidad suficiente para 3 análisis completos).</w:t>
      </w:r>
    </w:p>
    <w:p>
      <w:pPr>
        <w:pStyle w:val="Compact"/>
        <w:numPr>
          <w:ilvl w:val="0"/>
          <w:numId w:val="5"/>
        </w:numPr>
        <w:rPr/>
      </w:pPr>
      <w:r>
        <w:rPr>
          <w:b/>
          <w:bCs/>
        </w:rPr>
        <w:t>ANALISTA:</w:t>
      </w:r>
      <w:r>
        <w:rPr/>
        <w:t xml:space="preserve"> </w:t>
      </w:r>
      <w:r>
        <w:rPr>
          <w:b/>
          <w:bCs/>
        </w:rPr>
        <w:t>Envasar</w:t>
      </w:r>
      <w:r>
        <w:rPr/>
        <w:t xml:space="preserve"> la muestra en recipiente definitivo y </w:t>
      </w:r>
      <w:r>
        <w:rPr>
          <w:b/>
          <w:bCs/>
        </w:rPr>
        <w:t>cerrar</w:t>
      </w:r>
      <w:r>
        <w:rPr/>
        <w:t xml:space="preserve"> con precinto de seguridad.</w:t>
      </w:r>
      <w:bookmarkEnd w:id="11"/>
    </w:p>
    <w:p>
      <w:pPr>
        <w:pStyle w:val="Heading3"/>
        <w:rPr/>
      </w:pPr>
      <w:bookmarkStart w:id="12" w:name="identificación-y-registro"/>
      <w:r>
        <w:rPr/>
        <w:t>6.2. Identificación y Registro</w:t>
      </w:r>
    </w:p>
    <w:p>
      <w:pPr>
        <w:pStyle w:val="Compact"/>
        <w:numPr>
          <w:ilvl w:val="0"/>
          <w:numId w:val="17"/>
        </w:numPr>
        <w:rPr/>
      </w:pPr>
      <w:r>
        <w:rPr>
          <w:b/>
          <w:bCs/>
        </w:rPr>
        <w:t>ANALISTA:</w:t>
      </w:r>
      <w:r>
        <w:rPr/>
        <w:t xml:space="preserve"> </w:t>
      </w:r>
      <w:r>
        <w:rPr>
          <w:b/>
          <w:bCs/>
        </w:rPr>
        <w:t>Diligenciar</w:t>
      </w:r>
      <w:r>
        <w:rPr/>
        <w:t xml:space="preserve"> el rótulo de identificación (Anexo 1) con:</w:t>
      </w:r>
    </w:p>
    <w:p>
      <w:pPr>
        <w:pStyle w:val="Compact"/>
        <w:numPr>
          <w:ilvl w:val="1"/>
          <w:numId w:val="1"/>
        </w:numPr>
        <w:rPr/>
      </w:pPr>
      <w:r>
        <w:rPr/>
        <w:t>Nombre del Producto.</w:t>
      </w:r>
    </w:p>
    <w:p>
      <w:pPr>
        <w:pStyle w:val="Compact"/>
        <w:numPr>
          <w:ilvl w:val="1"/>
          <w:numId w:val="1"/>
        </w:numPr>
        <w:rPr/>
      </w:pPr>
      <w:r>
        <w:rPr/>
        <w:t>Número de Lote.</w:t>
      </w:r>
    </w:p>
    <w:p>
      <w:pPr>
        <w:pStyle w:val="Compact"/>
        <w:numPr>
          <w:ilvl w:val="1"/>
          <w:numId w:val="1"/>
        </w:numPr>
        <w:rPr/>
      </w:pPr>
      <w:r>
        <w:rPr/>
        <w:t>Fecha de Fabricación y Vencimiento.</w:t>
      </w:r>
    </w:p>
    <w:p>
      <w:pPr>
        <w:pStyle w:val="Compact"/>
        <w:numPr>
          <w:ilvl w:val="1"/>
          <w:numId w:val="1"/>
        </w:numPr>
        <w:rPr/>
      </w:pPr>
      <w:r>
        <w:rPr/>
        <w:t>Firma del responsable de toma.</w:t>
      </w:r>
    </w:p>
    <w:p>
      <w:pPr>
        <w:pStyle w:val="Compact"/>
        <w:numPr>
          <w:ilvl w:val="0"/>
          <w:numId w:val="6"/>
        </w:numPr>
        <w:rPr/>
      </w:pPr>
      <w:r>
        <w:rPr>
          <w:b/>
          <w:bCs/>
        </w:rPr>
        <w:t>ANALISTA:</w:t>
      </w:r>
      <w:r>
        <w:rPr/>
        <w:t xml:space="preserve"> </w:t>
      </w:r>
      <w:r>
        <w:rPr>
          <w:b/>
          <w:bCs/>
        </w:rPr>
        <w:t>Registrar</w:t>
      </w:r>
      <w:r>
        <w:rPr/>
        <w:t xml:space="preserve"> el ingreso en el </w:t>
      </w:r>
      <w:r>
        <w:rPr>
          <w:rStyle w:val="VerbatimChar"/>
        </w:rPr>
        <w:t>Formato_Control_Contramuestras_V1.csv</w:t>
      </w:r>
      <w:r>
        <w:rPr/>
        <w:t>.</w:t>
      </w:r>
      <w:bookmarkEnd w:id="12"/>
    </w:p>
    <w:p>
      <w:pPr>
        <w:pStyle w:val="Heading3"/>
        <w:rPr/>
      </w:pPr>
      <w:bookmarkStart w:id="13" w:name="almacenamiento-y-custodia"/>
      <w:r>
        <w:rPr/>
        <w:t>6.3. Almacenamiento y Custodia</w:t>
      </w:r>
    </w:p>
    <w:p>
      <w:pPr>
        <w:pStyle w:val="Compact"/>
        <w:numPr>
          <w:ilvl w:val="0"/>
          <w:numId w:val="18"/>
        </w:numPr>
        <w:rPr/>
      </w:pPr>
      <w:r>
        <w:rPr>
          <w:b/>
          <w:bCs/>
        </w:rPr>
        <w:t>CALIDAD:</w:t>
      </w:r>
      <w:r>
        <w:rPr/>
        <w:t xml:space="preserve"> </w:t>
      </w:r>
      <w:r>
        <w:rPr>
          <w:b/>
          <w:bCs/>
        </w:rPr>
        <w:t>Ubicar</w:t>
      </w:r>
      <w:r>
        <w:rPr/>
        <w:t xml:space="preserve"> la muestra en el estante correspondiente de la Muestroteca.</w:t>
      </w:r>
    </w:p>
    <w:p>
      <w:pPr>
        <w:pStyle w:val="Compact"/>
        <w:numPr>
          <w:ilvl w:val="1"/>
          <w:numId w:val="1"/>
        </w:numPr>
        <w:rPr/>
      </w:pPr>
      <w:r>
        <w:rPr>
          <w:i/>
          <w:iCs/>
        </w:rPr>
        <w:t>Condiciones:</w:t>
      </w:r>
      <w:r>
        <w:rPr/>
        <w:t xml:space="preserve"> Temperatura &lt; 30°C, Humedad Relativa &lt; 70%, Protegido de luz directa.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CALIDAD:</w:t>
      </w:r>
      <w:r>
        <w:rPr/>
        <w:t xml:space="preserve"> </w:t>
      </w:r>
      <w:r>
        <w:rPr>
          <w:b/>
          <w:bCs/>
        </w:rPr>
        <w:t>Actualizar</w:t>
      </w:r>
      <w:r>
        <w:rPr/>
        <w:t xml:space="preserve"> el inventario físico (Matriz de Ubicación - Anexo 2).</w:t>
      </w:r>
      <w:bookmarkEnd w:id="13"/>
    </w:p>
    <w:p>
      <w:pPr>
        <w:pStyle w:val="Heading3"/>
        <w:rPr/>
      </w:pPr>
      <w:bookmarkStart w:id="14" w:name="retención-y-disposición-final"/>
      <w:r>
        <w:rPr/>
        <w:t>6.4. Retención y Disposición Final</w:t>
      </w:r>
    </w:p>
    <w:p>
      <w:pPr>
        <w:pStyle w:val="Compact"/>
        <w:numPr>
          <w:ilvl w:val="0"/>
          <w:numId w:val="19"/>
        </w:numPr>
        <w:rPr/>
      </w:pPr>
      <w:r>
        <w:rPr>
          <w:b/>
          <w:bCs/>
        </w:rPr>
        <w:t>CALIDAD:</w:t>
      </w:r>
      <w:r>
        <w:rPr/>
        <w:t xml:space="preserve"> </w:t>
      </w:r>
      <w:r>
        <w:rPr>
          <w:b/>
          <w:bCs/>
        </w:rPr>
        <w:t>Retener</w:t>
      </w:r>
      <w:r>
        <w:rPr/>
        <w:t xml:space="preserve"> la muestra por un periodo de </w:t>
      </w:r>
      <w:r>
        <w:rPr>
          <w:b/>
          <w:bCs/>
        </w:rPr>
        <w:t>Vida Útil + 1 Año</w:t>
      </w:r>
      <w:r>
        <w:rPr/>
        <w:t xml:space="preserve"> (Mínimo 12 meses según normativa vigente).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CALIDAD:</w:t>
      </w:r>
      <w:r>
        <w:rPr/>
        <w:t xml:space="preserve"> </w:t>
      </w:r>
      <w:r>
        <w:rPr>
          <w:b/>
          <w:bCs/>
        </w:rPr>
        <w:t>Revisar</w:t>
      </w:r>
      <w:r>
        <w:rPr/>
        <w:t xml:space="preserve"> mensualmente el inventario para identificar muestras vencidas.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CALIDAD:</w:t>
      </w:r>
      <w:r>
        <w:rPr/>
        <w:t xml:space="preserve"> </w:t>
      </w:r>
      <w:r>
        <w:rPr>
          <w:b/>
          <w:bCs/>
        </w:rPr>
        <w:t>Proceder a la destrucción</w:t>
      </w:r>
      <w:r>
        <w:rPr/>
        <w:t xml:space="preserve"> de las muestras vencidas según POE 3.18 (Residuos).</w:t>
      </w:r>
    </w:p>
    <w:p>
      <w:pPr>
        <w:pStyle w:val="Compact"/>
        <w:numPr>
          <w:ilvl w:val="1"/>
          <w:numId w:val="1"/>
        </w:numPr>
        <w:rPr/>
      </w:pPr>
      <w:r>
        <w:rPr>
          <w:i/>
          <w:iCs/>
        </w:rPr>
        <w:t>Registro:</w:t>
      </w:r>
      <w:r>
        <w:rPr/>
        <w:t xml:space="preserve"> Diligenciar el Acta de Disposición de Contramuestras.</w:t>
      </w:r>
    </w:p>
    <w:p>
      <w:pPr>
        <w:pStyle w:val="Compact"/>
        <w:numPr>
          <w:ilvl w:val="0"/>
          <w:numId w:val="10"/>
        </w:numPr>
        <w:rPr/>
      </w:pPr>
      <w:r>
        <w:rPr>
          <w:b/>
          <w:bCs/>
        </w:rPr>
        <w:t>EN CASO DE RECLAMO:</w:t>
      </w:r>
    </w:p>
    <w:p>
      <w:pPr>
        <w:pStyle w:val="Compact"/>
        <w:numPr>
          <w:ilvl w:val="1"/>
          <w:numId w:val="1"/>
        </w:numPr>
        <w:rPr/>
      </w:pPr>
      <w:r>
        <w:rPr>
          <w:b/>
          <w:bCs/>
        </w:rPr>
        <w:t>Retirar</w:t>
      </w:r>
      <w:r>
        <w:rPr/>
        <w:t xml:space="preserve"> la muestra bajo custodia.</w:t>
      </w:r>
    </w:p>
    <w:p>
      <w:pPr>
        <w:pStyle w:val="Compact"/>
        <w:numPr>
          <w:ilvl w:val="1"/>
          <w:numId w:val="1"/>
        </w:numPr>
        <w:rPr/>
      </w:pPr>
      <w:r>
        <w:rPr>
          <w:b/>
          <w:bCs/>
        </w:rPr>
        <w:t>Romper</w:t>
      </w:r>
      <w:r>
        <w:rPr/>
        <w:t xml:space="preserve"> el precinto en presencia de testigos.</w:t>
      </w:r>
    </w:p>
    <w:p>
      <w:pPr>
        <w:pStyle w:val="Compact"/>
        <w:numPr>
          <w:ilvl w:val="1"/>
          <w:numId w:val="1"/>
        </w:numPr>
        <w:rPr/>
      </w:pPr>
      <w:r>
        <w:rPr>
          <w:b/>
          <w:bCs/>
        </w:rPr>
        <w:t>Analizar</w:t>
      </w:r>
      <w:r>
        <w:rPr/>
        <w:t xml:space="preserve"> y comparar resultados con el certificado original.</w:t>
      </w:r>
      <w:bookmarkEnd w:id="10"/>
      <w:bookmarkEnd w:id="14"/>
    </w:p>
    <w:p>
      <w:pPr>
        <w:pStyle w:val="Heading2"/>
        <w:rPr/>
      </w:pPr>
      <w:r>
        <w:rPr/>
        <w:t>7. CRITERIOS DE CONTROL Y ACEPTACIÓN</w:t>
      </w:r>
    </w:p>
    <w:tbl>
      <w:tblPr>
        <w:tblStyle w:val="Table"/>
        <w:tblW w:w="79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60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PARAMETRO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CRITERIO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Cantidad Mínima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500 g (Sólidos)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Envase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Hermético, limpio, sin fugas.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Identificación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Rótulo completo, legible y adherido.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b/>
                <w:bCs/>
                <w:kern w:val="0"/>
                <w:sz w:val="24"/>
                <w:szCs w:val="24"/>
                <w:lang w:val="en-US" w:eastAsia="zh-CN" w:bidi="ar-SA"/>
              </w:rPr>
              <w:t>Tiempo Retención</w:t>
            </w:r>
          </w:p>
        </w:tc>
        <w:tc>
          <w:tcPr>
            <w:tcW w:w="39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Fecha Vencimiento + 12 Meses.</w:t>
            </w:r>
            <w:bookmarkStart w:id="15" w:name="criterios-de-control-y-aceptación"/>
            <w:bookmarkEnd w:id="15"/>
          </w:p>
        </w:tc>
      </w:tr>
    </w:tbl>
    <w:p>
      <w:pPr>
        <w:pStyle w:val="Heading2"/>
        <w:rPr/>
      </w:pPr>
      <w:r>
        <w:rPr/>
        <w:t>8. REGISTROS ASOCIADOS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Formato_Control_Contramuestras_V1.csv</w:t>
      </w:r>
      <w:r>
        <w:rPr/>
        <w:t>: Log de ingreso y ubicación.</w:t>
      </w:r>
    </w:p>
    <w:p>
      <w:pPr>
        <w:pStyle w:val="Compact"/>
        <w:numPr>
          <w:ilvl w:val="0"/>
          <w:numId w:val="1"/>
        </w:numPr>
        <w:rPr/>
      </w:pPr>
      <w:r>
        <w:rPr>
          <w:rStyle w:val="VerbatimChar"/>
        </w:rPr>
        <w:t>Registro_Contramuestras_V1.csv</w:t>
      </w:r>
      <w:r>
        <w:rPr/>
        <w:t>: Acta de destrucción/salida.</w:t>
      </w:r>
    </w:p>
    <w:p>
      <w:pPr>
        <w:pStyle w:val="Heading2"/>
        <w:rPr/>
      </w:pPr>
      <w:bookmarkStart w:id="16" w:name="anexos"/>
      <w:r>
        <w:rPr/>
        <w:t>9. ANEXOS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Anexo 1:</w:t>
      </w:r>
      <w:r>
        <w:rPr/>
        <w:t xml:space="preserve"> Modelo de Rótulo de Contramuestra.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Anexo 2:</w:t>
      </w:r>
      <w:r>
        <w:rPr/>
        <w:t xml:space="preserve"> Plano de Ubicación de la Muestroteca.</w:t>
      </w:r>
      <w:bookmarkEnd w:id="16"/>
    </w:p>
    <w:p>
      <w:pPr>
        <w:pStyle w:val="Heading2"/>
        <w:rPr/>
      </w:pPr>
      <w:bookmarkStart w:id="17" w:name="control-de-cambios"/>
      <w:r>
        <w:rPr/>
        <w:t>10. CONTROL DE CAMBIOS</w:t>
      </w:r>
    </w:p>
    <w:p>
      <w:pPr>
        <w:pStyle w:val="FirstParagraph"/>
        <w:spacing w:before="180" w:after="180"/>
        <w:rPr/>
      </w:pPr>
      <w:bookmarkStart w:id="18" w:name="X22137ec03854949b13aebb135eb05c9f0163729"/>
      <w:bookmarkStart w:id="19" w:name="control-de-cambios"/>
      <w:r>
        <w:rPr/>
        <w:t>VERSIÓN | FECHA | DESCRIPCIÓN DEL CAMBIO |</w:t>
        <w:br/>
      </w:r>
      <w:bookmarkEnd w:id="18"/>
      <w:bookmarkEnd w:id="19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6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6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6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6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6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6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6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6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6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8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8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8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8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8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8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8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8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8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5"/>
    <w:lvlOverride w:ilvl="0">
      <w:startOverride w:val="1"/>
    </w:lvlOverride>
  </w:num>
  <w:num w:numId="17">
    <w:abstractNumId w:val="6"/>
    <w:lvlOverride w:ilvl="0">
      <w:startOverride w:val="4"/>
    </w:lvlOverride>
  </w:num>
  <w:num w:numId="18">
    <w:abstractNumId w:val="8"/>
    <w:lvlOverride w:ilvl="0">
      <w:startOverride w:val="6"/>
    </w:lvlOverride>
  </w:num>
  <w:num w:numId="19">
    <w:abstractNumId w:val="10"/>
    <w:lvlOverride w:ilvl="0">
      <w:startOverride w:val="8"/>
    </w:lvlOverride>
  </w:num>
</w:numbering>
</file>

<file path=word/settings.xml><?xml version="1.0" encoding="utf-8"?>
<w:settings xmlns:w="http://schemas.openxmlformats.org/wordprocessingml/2006/main">
  <w:zoom w:percent="67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LibreOffice/26.2.1.2$Linux_X86_64 LibreOffice_project/620$Build-2</Application>
  <AppVersion>15.0000</AppVersion>
  <Pages>3</Pages>
  <Words>643</Words>
  <Characters>3709</Characters>
  <CharactersWithSpaces>4259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2026-02-18T10:33:51Z</dcterms:created>
  <dc:creator/>
  <dc:description/>
  <dc:language>en-US</dc:language>
  <cp:lastModifiedBy/>
  <dcterms:modified xsi:type="dcterms:W3CDTF">2026-03-05T14:48:56Z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