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3e6d48f430d7eed8d307da4e36ab8934cb0e05"/>
    <w:p>
      <w:pPr>
        <w:pStyle w:val="Heading1"/>
      </w:pPr>
      <w:r>
        <w:t xml:space="preserve">ACTA DE NO APLICABILIDAD: CONTRATO DE PRODUCCIÓN CON TERCEROS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CÓDIGO</w:t>
            </w:r>
          </w:p>
        </w:tc>
        <w:tc>
          <w:tcPr/>
          <w:p>
            <w:pPr>
              <w:pStyle w:val="Compact"/>
            </w:pPr>
            <w:r>
              <w:t xml:space="preserve">VERSIÓN</w:t>
            </w:r>
          </w:p>
        </w:tc>
        <w:tc>
          <w:tcPr/>
          <w:p>
            <w:pPr>
              <w:pStyle w:val="Compact"/>
            </w:pPr>
            <w:r>
              <w:t xml:space="preserve">VIGENCIA</w:t>
            </w:r>
          </w:p>
        </w:tc>
        <w:tc>
          <w:tcPr/>
          <w:p>
            <w:pPr>
              <w:pStyle w:val="Compact"/>
            </w:pPr>
            <w:r>
              <w:t xml:space="preserve">PRÓXIMA REVISIÓN</w:t>
            </w:r>
          </w:p>
        </w:tc>
      </w:tr>
      <w:tr>
        <w:tc>
          <w:tcPr/>
          <w:p>
            <w:pPr>
              <w:pStyle w:val="Compact"/>
            </w:pPr>
            <w:r>
              <w:rPr>
                <w:b/>
                <w:bCs/>
              </w:rPr>
              <w:t xml:space="preserve">CGC-ACTA-NA-1.3</w:t>
            </w:r>
          </w:p>
        </w:tc>
        <w:tc>
          <w:tcPr/>
          <w:p>
            <w:pPr>
              <w:pStyle w:val="Compact"/>
            </w:pPr>
            <w:r>
              <w:rPr>
                <w:b/>
                <w:bCs/>
              </w:rPr>
              <w:t xml:space="preserve">01</w:t>
            </w:r>
          </w:p>
        </w:tc>
        <w:tc>
          <w:tcPr/>
          <w:p>
            <w:pPr>
              <w:pStyle w:val="Compact"/>
            </w:pPr>
            <w:r>
              <w:rPr>
                <w:b/>
                <w:bCs/>
              </w:rPr>
              <w:t xml:space="preserve">2026-03-05</w:t>
            </w:r>
          </w:p>
        </w:tc>
        <w:tc>
          <w:tcPr/>
          <w:p>
            <w:pPr>
              <w:pStyle w:val="Compact"/>
            </w:pPr>
            <w:r>
              <w:rPr>
                <w:b/>
                <w:bCs/>
              </w:rPr>
              <w:t xml:space="preserve">12 meses o ante cambio de modelo productivo</w:t>
            </w:r>
          </w:p>
        </w:tc>
      </w:tr>
    </w:tbl>
    <w:p>
      <w:r>
        <w:pict>
          <v:rect style="width:0;height:1.5pt" o:hralign="center" o:hrstd="t" o:hr="t"/>
        </w:pict>
      </w:r>
    </w:p>
    <w:bookmarkStart w:id="20" w:name="objetivo"/>
    <w:p>
      <w:pPr>
        <w:pStyle w:val="Heading2"/>
      </w:pPr>
      <w:r>
        <w:t xml:space="preserve">1. OBJETIVO</w:t>
      </w:r>
    </w:p>
    <w:p>
      <w:pPr>
        <w:pStyle w:val="FirstParagraph"/>
      </w:pPr>
      <w:r>
        <w:t xml:space="preserve">Dejar constancia formal y documentada de la</w:t>
      </w:r>
      <w:r>
        <w:t xml:space="preserve"> </w:t>
      </w:r>
      <w:r>
        <w:rPr>
          <w:b/>
          <w:bCs/>
        </w:rPr>
        <w:t xml:space="preserve">No Aplicabilidad</w:t>
      </w:r>
      <w:r>
        <w:t xml:space="preserve"> </w:t>
      </w:r>
      <w:r>
        <w:t xml:space="preserve">del requisito</w:t>
      </w:r>
      <w:r>
        <w:t xml:space="preserve"> </w:t>
      </w:r>
      <w:r>
        <w:t xml:space="preserve">“Contrato de Producción con Terceros”</w:t>
      </w:r>
      <w:r>
        <w:t xml:space="preserve"> </w:t>
      </w:r>
      <w:r>
        <w:t xml:space="preserve">(numeral 1.3 del Anexo I-B del Acta de Visita de Verificación de Requisitos ICA) para la operación actual de</w:t>
      </w:r>
      <w:r>
        <w:t xml:space="preserve"> </w:t>
      </w:r>
      <w:r>
        <w:rPr>
          <w:b/>
          <w:bCs/>
        </w:rPr>
        <w:t xml:space="preserve">CALFERQUIM S.A.S.</w:t>
      </w:r>
    </w:p>
    <w:bookmarkEnd w:id="20"/>
    <w:bookmarkStart w:id="21" w:name="alcance"/>
    <w:p>
      <w:pPr>
        <w:pStyle w:val="Heading2"/>
      </w:pPr>
      <w:r>
        <w:t xml:space="preserve">2. ALCANCE</w:t>
      </w:r>
    </w:p>
    <w:p>
      <w:pPr>
        <w:pStyle w:val="FirstParagraph"/>
      </w:pPr>
      <w:r>
        <w:t xml:space="preserve">Este documento aplica al Sistema de Gestión de Calidad de CALFERQUIM S.A.S. y certifica que la totalidad de la fabricación se realiza en instalaciones propias, sin contratos de maquila ni de producción a terceros.</w:t>
      </w:r>
    </w:p>
    <w:bookmarkEnd w:id="21"/>
    <w:bookmarkStart w:id="22" w:name="fundamento-normativo"/>
    <w:p>
      <w:pPr>
        <w:pStyle w:val="Heading2"/>
      </w:pPr>
      <w:r>
        <w:t xml:space="preserve">3. FUNDAMENTO NORMATIVO</w:t>
      </w:r>
    </w:p>
    <w:p>
      <w:pPr>
        <w:pStyle w:val="Compact"/>
        <w:numPr>
          <w:ilvl w:val="0"/>
          <w:numId w:val="1001"/>
        </w:numPr>
      </w:pPr>
      <w:r>
        <w:rPr>
          <w:b/>
          <w:bCs/>
        </w:rPr>
        <w:t xml:space="preserve">Resolución ICA / Acta de Visita de Verificación (Anexo I-B):</w:t>
      </w:r>
      <w:r>
        <w:t xml:space="preserve"> </w:t>
      </w:r>
      <w:r>
        <w:t xml:space="preserve">Numeral 1.3 —</w:t>
      </w:r>
      <w:r>
        <w:t xml:space="preserve"> </w:t>
      </w:r>
      <w:r>
        <w:t xml:space="preserve">“Existe contrato para adelantar el proceso de producción (cuando aplique). Soporte: Contrato(s) de producción vigente(s) o autorización.”</w:t>
      </w:r>
    </w:p>
    <w:p>
      <w:pPr>
        <w:pStyle w:val="Compact"/>
        <w:numPr>
          <w:ilvl w:val="0"/>
          <w:numId w:val="1001"/>
        </w:numPr>
      </w:pPr>
      <w:r>
        <w:rPr>
          <w:b/>
          <w:bCs/>
        </w:rPr>
        <w:t xml:space="preserve">Resolución ICA 150 de 2003:</w:t>
      </w:r>
      <w:r>
        <w:t xml:space="preserve"> </w:t>
      </w:r>
      <w:r>
        <w:t xml:space="preserve">Condiciones de inscripción como fabricante.</w:t>
      </w:r>
    </w:p>
    <w:bookmarkEnd w:id="22"/>
    <w:bookmarkStart w:id="23" w:name="declaración-de-no-aplicabilidad"/>
    <w:p>
      <w:pPr>
        <w:pStyle w:val="Heading2"/>
      </w:pPr>
      <w:r>
        <w:t xml:space="preserve">4. DECLARACIÓN DE NO APLICABILIDAD</w:t>
      </w:r>
    </w:p>
    <w:p>
      <w:pPr>
        <w:pStyle w:val="FirstParagraph"/>
      </w:pPr>
      <w:r>
        <w:t xml:space="preserve">La empresa</w:t>
      </w:r>
      <w:r>
        <w:t xml:space="preserve"> </w:t>
      </w:r>
      <w:r>
        <w:rPr>
          <w:b/>
          <w:bCs/>
        </w:rPr>
        <w:t xml:space="preserve">CALFERQUIM S.A.S.</w:t>
      </w:r>
      <w:r>
        <w:t xml:space="preserve"> </w:t>
      </w:r>
      <w:r>
        <w:t xml:space="preserve">se encuentra inscrita ante el ICA en calidad de</w:t>
      </w:r>
      <w:r>
        <w:t xml:space="preserve"> </w:t>
      </w:r>
      <w:r>
        <w:rPr>
          <w:b/>
          <w:bCs/>
        </w:rPr>
        <w:t xml:space="preserve">fabricante y formulador propio</w:t>
      </w:r>
      <w:r>
        <w:t xml:space="preserve">. Los procesos de producción que comprenden:</w:t>
      </w:r>
    </w:p>
    <w:p>
      <w:pPr>
        <w:pStyle w:val="Compact"/>
        <w:numPr>
          <w:ilvl w:val="0"/>
          <w:numId w:val="1002"/>
        </w:numPr>
      </w:pPr>
      <w:r>
        <w:t xml:space="preserve">Recepción y almacenamiento de materias primas (POE-3.01)</w:t>
      </w:r>
    </w:p>
    <w:p>
      <w:pPr>
        <w:pStyle w:val="Compact"/>
        <w:numPr>
          <w:ilvl w:val="0"/>
          <w:numId w:val="1002"/>
        </w:numPr>
      </w:pPr>
      <w:r>
        <w:t xml:space="preserve">Balance de materias primas (POE-3.05)</w:t>
      </w:r>
    </w:p>
    <w:p>
      <w:pPr>
        <w:pStyle w:val="Compact"/>
        <w:numPr>
          <w:ilvl w:val="0"/>
          <w:numId w:val="1002"/>
        </w:numPr>
      </w:pPr>
      <w:r>
        <w:t xml:space="preserve">Mezcla y homogenización (POE-3.06)</w:t>
      </w:r>
    </w:p>
    <w:p>
      <w:pPr>
        <w:pStyle w:val="Compact"/>
        <w:numPr>
          <w:ilvl w:val="0"/>
          <w:numId w:val="1002"/>
        </w:numPr>
      </w:pPr>
      <w:r>
        <w:t xml:space="preserve">Presentación física / Granulación (POE-3.08)</w:t>
      </w:r>
    </w:p>
    <w:p>
      <w:pPr>
        <w:pStyle w:val="Compact"/>
        <w:numPr>
          <w:ilvl w:val="0"/>
          <w:numId w:val="1002"/>
        </w:numPr>
      </w:pPr>
      <w:r>
        <w:t xml:space="preserve">Envase (POE-3.10)</w:t>
      </w:r>
    </w:p>
    <w:p>
      <w:pPr>
        <w:pStyle w:val="Compact"/>
        <w:numPr>
          <w:ilvl w:val="0"/>
          <w:numId w:val="1002"/>
        </w:numPr>
      </w:pPr>
      <w:r>
        <w:t xml:space="preserve">Codificación de lotes (POE-3.11)</w:t>
      </w:r>
    </w:p>
    <w:p>
      <w:pPr>
        <w:pStyle w:val="Compact"/>
        <w:numPr>
          <w:ilvl w:val="0"/>
          <w:numId w:val="1002"/>
        </w:numPr>
      </w:pPr>
      <w:r>
        <w:t xml:space="preserve">Liberación de lotes (POE-3.12)</w:t>
      </w:r>
    </w:p>
    <w:p>
      <w:pPr>
        <w:pStyle w:val="FirstParagraph"/>
      </w:pPr>
      <w:r>
        <w:t xml:space="preserve">Se ejecutan</w:t>
      </w:r>
      <w:r>
        <w:t xml:space="preserve"> </w:t>
      </w:r>
      <w:r>
        <w:rPr>
          <w:b/>
          <w:bCs/>
        </w:rPr>
        <w:t xml:space="preserve">exclusivamente en las instalaciones propias</w:t>
      </w:r>
      <w:r>
        <w:t xml:space="preserve"> </w:t>
      </w:r>
      <w:r>
        <w:t xml:space="preserve">de CALFERQUIM S.A.S., bajo la supervisión directa del Asesor Técnico y el Responsable de Producción.</w:t>
      </w:r>
    </w:p>
    <w:p>
      <w:pPr>
        <w:pStyle w:val="BodyText"/>
      </w:pPr>
      <w:r>
        <w:rPr>
          <w:b/>
          <w:bCs/>
        </w:rPr>
        <w:t xml:space="preserve">NO EXISTE</w:t>
      </w:r>
      <w:r>
        <w:t xml:space="preserve"> </w:t>
      </w:r>
      <w:r>
        <w:t xml:space="preserve">ningún contrato vigente para que un tercero ejecute el proceso de producción en nombre de CALFERQUIM S.A.S., ni se tienen autorizaciones para que otra empresa fabrique productos con el registro ICA de CALFERQUIM.</w:t>
      </w:r>
    </w:p>
    <w:bookmarkEnd w:id="23"/>
    <w:bookmarkStart w:id="24" w:name="evidencias-de-soporte"/>
    <w:p>
      <w:pPr>
        <w:pStyle w:val="Heading2"/>
      </w:pPr>
      <w:r>
        <w:t xml:space="preserve">5. EVIDENCIAS DE SOPORTE</w:t>
      </w:r>
    </w:p>
    <w:p>
      <w:pPr>
        <w:pStyle w:val="Compact"/>
        <w:numPr>
          <w:ilvl w:val="0"/>
          <w:numId w:val="1003"/>
        </w:numPr>
      </w:pPr>
      <w:r>
        <w:rPr>
          <w:b/>
          <w:bCs/>
        </w:rPr>
        <w:t xml:space="preserve">Croquis de Instalaciones (1.1):</w:t>
      </w:r>
      <w:r>
        <w:t xml:space="preserve"> </w:t>
      </w:r>
      <w:r>
        <w:t xml:space="preserve">Las áreas de producción son propiedad de CALFERQUIM S.A.S.</w:t>
      </w:r>
    </w:p>
    <w:p>
      <w:pPr>
        <w:pStyle w:val="Compact"/>
        <w:numPr>
          <w:ilvl w:val="0"/>
          <w:numId w:val="1003"/>
        </w:numPr>
      </w:pPr>
      <w:r>
        <w:rPr>
          <w:b/>
          <w:bCs/>
        </w:rPr>
        <w:t xml:space="preserve">Diagrama de Flujo de Proceso (1.4):</w:t>
      </w:r>
      <w:r>
        <w:t xml:space="preserve"> </w:t>
      </w:r>
      <w:r>
        <w:t xml:space="preserve">Todo el flujo ocurre dentro de la planta propia.</w:t>
      </w:r>
    </w:p>
    <w:p>
      <w:pPr>
        <w:pStyle w:val="Compact"/>
        <w:numPr>
          <w:ilvl w:val="0"/>
          <w:numId w:val="1003"/>
        </w:numPr>
      </w:pPr>
      <w:r>
        <w:rPr>
          <w:b/>
          <w:bCs/>
        </w:rPr>
        <w:t xml:space="preserve">Registro ICA:</w:t>
      </w:r>
      <w:r>
        <w:t xml:space="preserve"> </w:t>
      </w:r>
      <w:r>
        <w:t xml:space="preserve">Inscripción en calidad de fabricante/formulador propio.</w:t>
      </w:r>
    </w:p>
    <w:p>
      <w:pPr>
        <w:pStyle w:val="Compact"/>
        <w:numPr>
          <w:ilvl w:val="0"/>
          <w:numId w:val="1003"/>
        </w:numPr>
      </w:pPr>
      <w:r>
        <w:rPr>
          <w:b/>
          <w:bCs/>
        </w:rPr>
        <w:t xml:space="preserve">POEs 3.01 a 3.17:</w:t>
      </w:r>
      <w:r>
        <w:t xml:space="preserve"> </w:t>
      </w:r>
      <w:r>
        <w:t xml:space="preserve">Todos los procedimientos referencian equipos y áreas internas.</w:t>
      </w:r>
    </w:p>
    <w:bookmarkEnd w:id="24"/>
    <w:bookmarkStart w:id="25" w:name="criterio-de-reactivación"/>
    <w:p>
      <w:pPr>
        <w:pStyle w:val="Heading2"/>
      </w:pPr>
      <w:r>
        <w:t xml:space="preserve">6. CRITERIO DE REACTIVACIÓN</w:t>
      </w:r>
    </w:p>
    <w:p>
      <w:pPr>
        <w:pStyle w:val="FirstParagraph"/>
      </w:pPr>
      <w:r>
        <w:rPr>
          <w:b/>
          <w:bCs/>
        </w:rPr>
        <w:t xml:space="preserve">SI</w:t>
      </w:r>
      <w:r>
        <w:t xml:space="preserve"> </w:t>
      </w:r>
      <w:r>
        <w:t xml:space="preserve">en el futuro CALFERQUIM S.A.S. decide contratar a un tercero para adelantar cualquier etapa del proceso de producción:</w:t>
      </w:r>
      <w:r>
        <w:t xml:space="preserve"> </w:t>
      </w:r>
      <w:r>
        <w:t xml:space="preserve">1. Esta Acta pierde vigencia automáticamente.</w:t>
      </w:r>
      <w:r>
        <w:t xml:space="preserve"> </w:t>
      </w:r>
      <w:r>
        <w:t xml:space="preserve">2. Se</w:t>
      </w:r>
      <w:r>
        <w:t xml:space="preserve"> </w:t>
      </w:r>
      <w:r>
        <w:rPr>
          <w:b/>
          <w:bCs/>
        </w:rPr>
        <w:t xml:space="preserve">debe</w:t>
      </w:r>
      <w:r>
        <w:t xml:space="preserve"> </w:t>
      </w:r>
      <w:r>
        <w:t xml:space="preserve">suscribir el contrato de producción correspondiente y notificar al ICA.</w:t>
      </w:r>
      <w:r>
        <w:t xml:space="preserve"> </w:t>
      </w:r>
      <w:r>
        <w:t xml:space="preserve">3. El contrato debe estar vigente y aprobado antes de iniciar cualquier operación bajo ese esquema.</w:t>
      </w:r>
    </w:p>
    <w:bookmarkEnd w:id="25"/>
    <w:bookmarkStart w:id="26" w:name="aprobación"/>
    <w:p>
      <w:pPr>
        <w:pStyle w:val="Heading2"/>
      </w:pPr>
      <w:r>
        <w:t xml:space="preserve">7. APROBACIÓN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Cargo</w:t>
            </w:r>
          </w:p>
        </w:tc>
        <w:tc>
          <w:tcPr/>
          <w:p>
            <w:pPr>
              <w:pStyle w:val="Compact"/>
              <w:jc w:val="left"/>
            </w:pPr>
            <w:r>
              <w:t xml:space="preserve">Nombre</w:t>
            </w:r>
          </w:p>
        </w:tc>
        <w:tc>
          <w:tcPr/>
          <w:p>
            <w:pPr>
              <w:pStyle w:val="Compact"/>
              <w:jc w:val="left"/>
            </w:pPr>
            <w:r>
              <w:t xml:space="preserve">Firma</w:t>
            </w:r>
          </w:p>
        </w:tc>
        <w:tc>
          <w:tcPr/>
          <w:p>
            <w:pPr>
              <w:pStyle w:val="Compact"/>
              <w:jc w:val="left"/>
            </w:pPr>
            <w:r>
              <w:t xml:space="preserve">Fecha</w:t>
            </w:r>
          </w:p>
        </w:tc>
      </w:tr>
      <w:tr>
        <w:tc>
          <w:tcPr/>
          <w:p>
            <w:pPr>
              <w:pStyle w:val="Compact"/>
              <w:jc w:val="left"/>
            </w:pPr>
            <w:r>
              <w:t xml:space="preserve">Representante Legal</w:t>
            </w:r>
          </w:p>
        </w:tc>
        <w:tc>
          <w:tcPr/>
          <w:p>
            <w:pPr>
              <w:pStyle w:val="Compact"/>
            </w:pPr>
          </w:p>
        </w:tc>
        <w:tc>
          <w:tcPr/>
          <w:p>
            <w:pPr>
              <w:pStyle w:val="Compact"/>
              <w:jc w:val="left"/>
            </w:pPr>
            <w:r>
              <w:t xml:space="preserve">___________________</w:t>
            </w:r>
          </w:p>
        </w:tc>
        <w:tc>
          <w:tcPr/>
          <w:p>
            <w:pPr>
              <w:pStyle w:val="Compact"/>
              <w:jc w:val="left"/>
            </w:pPr>
            <w:r>
              <w:t xml:space="preserve">2026-03-05</w:t>
            </w:r>
          </w:p>
        </w:tc>
      </w:tr>
      <w:tr>
        <w:tc>
          <w:tcPr/>
          <w:p>
            <w:pPr>
              <w:pStyle w:val="Compact"/>
              <w:jc w:val="left"/>
            </w:pPr>
            <w:r>
              <w:t xml:space="preserve">Director Técnico / Asesor</w:t>
            </w:r>
          </w:p>
        </w:tc>
        <w:tc>
          <w:tcPr/>
          <w:p>
            <w:pPr>
              <w:pStyle w:val="Compact"/>
            </w:pPr>
          </w:p>
        </w:tc>
        <w:tc>
          <w:tcPr/>
          <w:p>
            <w:pPr>
              <w:pStyle w:val="Compact"/>
              <w:jc w:val="left"/>
            </w:pPr>
            <w:r>
              <w:t xml:space="preserve">___________________</w:t>
            </w:r>
          </w:p>
        </w:tc>
        <w:tc>
          <w:tcPr/>
          <w:p>
            <w:pPr>
              <w:pStyle w:val="Compact"/>
              <w:jc w:val="left"/>
            </w:pPr>
            <w:r>
              <w:t xml:space="preserve">2026-03-05</w:t>
            </w:r>
          </w:p>
        </w:tc>
      </w:tr>
    </w:tbl>
    <w:bookmarkEnd w:id="26"/>
    <w:bookmarkStart w:id="27" w:name="control-de-cambios"/>
    <w:p>
      <w:pPr>
        <w:pStyle w:val="Heading2"/>
      </w:pPr>
      <w:r>
        <w:t xml:space="preserve">8. CONTROL DE CAMBIOS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Descripción</w:t>
            </w:r>
          </w:p>
        </w:tc>
      </w:tr>
      <w:tr>
        <w:tc>
          <w:tcPr/>
          <w:p>
            <w:pPr>
              <w:pStyle w:val="Compact"/>
              <w:jc w:val="left"/>
            </w:pPr>
            <w:r>
              <w:t xml:space="preserve">01</w:t>
            </w:r>
          </w:p>
        </w:tc>
        <w:tc>
          <w:tcPr/>
          <w:p>
            <w:pPr>
              <w:pStyle w:val="Compact"/>
              <w:jc w:val="left"/>
            </w:pPr>
            <w:r>
              <w:t xml:space="preserve">2026-03-05</w:t>
            </w:r>
          </w:p>
        </w:tc>
        <w:tc>
          <w:tcPr/>
          <w:p>
            <w:pPr>
              <w:pStyle w:val="Compact"/>
              <w:jc w:val="left"/>
            </w:pPr>
            <w:r>
              <w:t xml:space="preserve">Creación inicial del acta de no aplicabilidad.</w:t>
            </w:r>
          </w:p>
        </w:tc>
      </w:tr>
    </w:tbl>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2026-05-24T16:26:40Z</dcterms:created>
  <dcterms:modified xsi:type="dcterms:W3CDTF">2026-05-24T16:26:40Z</dcterms:modified>
</cp:coreProperties>
</file>

<file path=docProps/custom.xml><?xml version="1.0" encoding="utf-8"?>
<Properties xmlns="http://schemas.openxmlformats.org/officeDocument/2006/custom-properties" xmlns:vt="http://schemas.openxmlformats.org/officeDocument/2006/docPropsVTypes"/>
</file>