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e09e57e48721c486651a6cfabd7616258d38da"/>
    <w:p>
      <w:pPr>
        <w:pStyle w:val="Heading1"/>
      </w:pPr>
      <w:r>
        <w:t xml:space="preserve">DESCRIPCION DEL FLUJO DEL PROCESO DE FORMULACION, FABRICACION, ENVASE Y ALMACENAMIENTO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CODIGO</w:t>
            </w:r>
          </w:p>
        </w:tc>
        <w:tc>
          <w:tcPr/>
          <w:p>
            <w:pPr>
              <w:pStyle w:val="Compact"/>
            </w:pPr>
            <w:r>
              <w:t xml:space="preserve">VERSION</w:t>
            </w:r>
          </w:p>
        </w:tc>
        <w:tc>
          <w:tcPr/>
          <w:p>
            <w:pPr>
              <w:pStyle w:val="Compact"/>
            </w:pPr>
            <w:r>
              <w:t xml:space="preserve">VIGENCIA</w:t>
            </w:r>
          </w:p>
        </w:tc>
      </w:tr>
      <w:tr>
        <w:tc>
          <w:tcPr/>
          <w:p>
            <w:pPr>
              <w:pStyle w:val="Compact"/>
            </w:pPr>
            <w:r>
              <w:t xml:space="preserve">DFP-1.4</w:t>
            </w:r>
          </w:p>
        </w:tc>
        <w:tc>
          <w:tcPr/>
          <w:p>
            <w:pPr>
              <w:pStyle w:val="Compact"/>
            </w:pPr>
            <w:r>
              <w:t xml:space="preserve">01</w:t>
            </w:r>
          </w:p>
        </w:tc>
        <w:tc>
          <w:tcPr/>
          <w:p>
            <w:pPr>
              <w:pStyle w:val="Compact"/>
            </w:pPr>
            <w:r>
              <w:t xml:space="preserve">2026-03-05</w:t>
            </w:r>
          </w:p>
        </w:tc>
      </w:tr>
    </w:tbl>
    <w:p>
      <w:r>
        <w:pict>
          <v:rect style="width:0;height:1.5pt" o:hralign="center" o:hrstd="t" o:hr="t"/>
        </w:pict>
      </w:r>
    </w:p>
    <w:bookmarkStart w:id="20" w:name="alcance"/>
    <w:p>
      <w:pPr>
        <w:pStyle w:val="Heading2"/>
      </w:pPr>
      <w:r>
        <w:t xml:space="preserve">1. ALCANCE</w:t>
      </w:r>
    </w:p>
    <w:p>
      <w:pPr>
        <w:pStyle w:val="FirstParagraph"/>
      </w:pPr>
      <w:r>
        <w:t xml:space="preserve">Este documento describe en forma narrativa el flujo del proceso productivo de CALFERQUIM S.A.S. para la fabricacion de fertilizantes y acondicionadores de suelo en presentacion solida. Aplica a dos tipos de proceso:</w:t>
      </w:r>
      <w:r>
        <w:t xml:space="preserve"> </w:t>
      </w:r>
      <w:r>
        <w:rPr>
          <w:b/>
          <w:bCs/>
        </w:rPr>
        <w:t xml:space="preserve">mezcla fisica</w:t>
      </w:r>
      <w:r>
        <w:t xml:space="preserve"> </w:t>
      </w:r>
      <w:r>
        <w:t xml:space="preserve">y</w:t>
      </w:r>
      <w:r>
        <w:t xml:space="preserve"> </w:t>
      </w:r>
      <w:r>
        <w:rPr>
          <w:b/>
          <w:bCs/>
        </w:rPr>
        <w:t xml:space="preserve">granulacion</w:t>
      </w:r>
      <w:r>
        <w:t xml:space="preserve">. Sirve de base para la elaboracion del diagrama de flujo grafico del proceso.</w:t>
      </w:r>
    </w:p>
    <w:p>
      <w:pPr>
        <w:pStyle w:val="BodyText"/>
      </w:pPr>
      <w:r>
        <w:t xml:space="preserve">No se fabrican formulaciones liquidas.</w:t>
      </w:r>
    </w:p>
    <w:p>
      <w:r>
        <w:pict>
          <v:rect style="width:0;height:1.5pt" o:hralign="center" o:hrstd="t" o:hr="t"/>
        </w:pict>
      </w:r>
    </w:p>
    <w:bookmarkEnd w:id="20"/>
    <w:bookmarkStart w:id="23" w:name="etapas-comunes-a-ambos-procesos"/>
    <w:p>
      <w:pPr>
        <w:pStyle w:val="Heading2"/>
      </w:pPr>
      <w:r>
        <w:t xml:space="preserve">2. ETAPAS COMUNES A AMBOS PROCESOS</w:t>
      </w:r>
    </w:p>
    <w:bookmarkStart w:id="21" w:name="Xf23474393e6cbf3b7c8d25592c644c8cc2f7197"/>
    <w:p>
      <w:pPr>
        <w:pStyle w:val="Heading3"/>
      </w:pPr>
      <w:r>
        <w:t xml:space="preserve">2.1. Recepcion y Almacenamiento de Materias Primas</w:t>
      </w:r>
    </w:p>
    <w:p>
      <w:pPr>
        <w:pStyle w:val="FirstParagraph"/>
      </w:pPr>
      <w:r>
        <w:t xml:space="preserve">Las materias primas (MP) llegan a planta en vehiculo de transporte. El vehiculo permanece en patio mientras Bodega verifica los documentos de soporte (remision, ficha tecnica, hoja de seguridad y certificado de analisis cuando aplique) y Calidad realiza la inspeccion visual del material. El vehiculo no se descarga hasta que Calidad emite la autorizacion formal de ingreso.</w:t>
      </w:r>
    </w:p>
    <w:p>
      <w:pPr>
        <w:pStyle w:val="BodyText"/>
      </w:pPr>
      <w:r>
        <w:t xml:space="preserve">Una vez autorizada la MP, el Jefe de Bodega define la ubicacion de almacenamiento segun compatibilidad quimica y condiciones del producto. La MP se almacena en bodega exclusivamente en estado aprobado.</w:t>
      </w:r>
    </w:p>
    <w:p>
      <w:pPr>
        <w:pStyle w:val="BodyText"/>
      </w:pPr>
      <w:r>
        <w:t xml:space="preserve">En caso de rechazo, el vehiculo se devuelve sin descarga. La coordinacion de la devolucion es responsabilidad del equipo comercial y la Gerencia.</w:t>
      </w:r>
    </w:p>
    <w:p>
      <w:pPr>
        <w:pStyle w:val="BodyText"/>
      </w:pPr>
      <w:r>
        <w:rPr>
          <w:i/>
          <w:iCs/>
        </w:rPr>
        <w:t xml:space="preserve">(Referencia: POE 3.01)</w:t>
      </w:r>
    </w:p>
    <w:bookmarkEnd w:id="21"/>
    <w:bookmarkStart w:id="22" w:name="dispensado-de-materias-primas"/>
    <w:p>
      <w:pPr>
        <w:pStyle w:val="Heading3"/>
      </w:pPr>
      <w:r>
        <w:t xml:space="preserve">2.2. Dispensado de Materias Primas</w:t>
      </w:r>
    </w:p>
    <w:p>
      <w:pPr>
        <w:pStyle w:val="FirstParagraph"/>
      </w:pPr>
      <w:r>
        <w:t xml:space="preserve">Antes de iniciar la produccion, el Jefe de Produccion emite la Orden de Produccion con la formulacion del lote. Cada materia prima es pesada individualmente por el operario en bascula de produccion, verificando que el peso corresponda a la cantidad indicada en la Orden. Los pesos se registran en el formato de balance de materias primas.</w:t>
      </w:r>
    </w:p>
    <w:p>
      <w:pPr>
        <w:pStyle w:val="BodyText"/>
      </w:pPr>
      <w:r>
        <w:rPr>
          <w:i/>
          <w:iCs/>
        </w:rPr>
        <w:t xml:space="preserve">(Referencia: POE 3.05)</w:t>
      </w:r>
    </w:p>
    <w:p>
      <w:r>
        <w:pict>
          <v:rect style="width:0;height:1.5pt" o:hralign="center" o:hrstd="t" o:hr="t"/>
        </w:pict>
      </w:r>
    </w:p>
    <w:bookmarkEnd w:id="22"/>
    <w:bookmarkEnd w:id="23"/>
    <w:bookmarkStart w:id="24" w:name="proceso-tipo-a-mezcla-fisica-blending"/>
    <w:p>
      <w:pPr>
        <w:pStyle w:val="Heading2"/>
      </w:pPr>
      <w:r>
        <w:t xml:space="preserve">3. PROCESO TIPO A: MEZCLA FISICA (BLENDING)</w:t>
      </w:r>
    </w:p>
    <w:p>
      <w:pPr>
        <w:pStyle w:val="FirstParagraph"/>
      </w:pPr>
      <w:r>
        <w:t xml:space="preserve">Aplica a productos formulados como mezclas secas que no requieren aglomeracion.</w:t>
      </w:r>
    </w:p>
    <w:p>
      <w:pPr>
        <w:pStyle w:val="BodyText"/>
      </w:pPr>
      <w:r>
        <w:rPr>
          <w:b/>
          <w:bCs/>
        </w:rPr>
        <w:t xml:space="preserve">Paso 1 — Carga al mezclador (vaciado intercalado):</w:t>
      </w:r>
      <w:r>
        <w:t xml:space="preserve"> </w:t>
      </w:r>
      <w:r>
        <w:t xml:space="preserve">Las materias primas se cargan al mezclador siguiendo el metodo de vaciado intercalado (sandwich): se vacia la primera mitad de los ingredientes de mayor proporcion, luego los ingredientes de menor proporcion, y finalmente la segunda mitad de los ingredientes de mayor proporcion. La carga se complementa con paleado manual para asegurar la distribucion inicial del material.</w:t>
      </w:r>
    </w:p>
    <w:p>
      <w:pPr>
        <w:pStyle w:val="BodyText"/>
      </w:pPr>
      <w:r>
        <w:rPr>
          <w:b/>
          <w:bCs/>
        </w:rPr>
        <w:t xml:space="preserve">Paso 2 — Mezcla:</w:t>
      </w:r>
      <w:r>
        <w:t xml:space="preserve"> </w:t>
      </w:r>
      <w:r>
        <w:t xml:space="preserve">Se cierra la tolva del mezclador y se cronometra un tiempo minimo de mezcla efectiva de 4 minutos. No se interrumpe ni se reduce este tiempo.</w:t>
      </w:r>
    </w:p>
    <w:p>
      <w:pPr>
        <w:pStyle w:val="BodyText"/>
      </w:pPr>
      <w:r>
        <w:rPr>
          <w:b/>
          <w:bCs/>
        </w:rPr>
        <w:t xml:space="preserve">Paso 3 — Descarga y verificacion visual:</w:t>
      </w:r>
      <w:r>
        <w:t xml:space="preserve"> </w:t>
      </w:r>
      <w:r>
        <w:t xml:space="preserve">Al completar el tiempo, el operario abre la compuerta y observa la homogeneidad del producto durante la descarga (color y textura uniformes, sin puntos diferenciados). Si hay anomalia visual, se detiene la descarga y se reporta al Jefe de Produccion.</w:t>
      </w:r>
    </w:p>
    <w:p>
      <w:pPr>
        <w:pStyle w:val="BodyText"/>
      </w:pPr>
      <w:r>
        <w:t xml:space="preserve">El granel conforme pasa directamente a la etapa de envase.</w:t>
      </w:r>
    </w:p>
    <w:p>
      <w:pPr>
        <w:pStyle w:val="BodyText"/>
      </w:pPr>
      <w:r>
        <w:rPr>
          <w:i/>
          <w:iCs/>
        </w:rPr>
        <w:t xml:space="preserve">(Referencia: POE 3.06)</w:t>
      </w:r>
    </w:p>
    <w:p>
      <w:r>
        <w:pict>
          <v:rect style="width:0;height:1.5pt" o:hralign="center" o:hrstd="t" o:hr="t"/>
        </w:pict>
      </w:r>
    </w:p>
    <w:bookmarkEnd w:id="24"/>
    <w:bookmarkStart w:id="25" w:name="proceso-tipo-b-granulacion"/>
    <w:p>
      <w:pPr>
        <w:pStyle w:val="Heading2"/>
      </w:pPr>
      <w:r>
        <w:t xml:space="preserve">4. PROCESO TIPO B: GRANULACION</w:t>
      </w:r>
    </w:p>
    <w:p>
      <w:pPr>
        <w:pStyle w:val="FirstParagraph"/>
      </w:pPr>
      <w:r>
        <w:t xml:space="preserve">Aplica a productos que requieren aglomeracion para obtener una presentacion granular (ej. 2-4 mm).</w:t>
      </w:r>
    </w:p>
    <w:p>
      <w:pPr>
        <w:pStyle w:val="BodyText"/>
      </w:pPr>
      <w:r>
        <w:rPr>
          <w:b/>
          <w:bCs/>
        </w:rPr>
        <w:t xml:space="preserve">Paso 1 — Mezcla en tolva:</w:t>
      </w:r>
      <w:r>
        <w:t xml:space="preserve"> </w:t>
      </w:r>
      <w:r>
        <w:t xml:space="preserve">Las materias primas se cargan y mezclan en la tolva por vaciado intercalado, de la misma forma descrita en el Proceso Tipo A (pasos 1 y 2).</w:t>
      </w:r>
    </w:p>
    <w:p>
      <w:pPr>
        <w:pStyle w:val="BodyText"/>
      </w:pPr>
      <w:r>
        <w:rPr>
          <w:b/>
          <w:bCs/>
        </w:rPr>
        <w:t xml:space="preserve">Paso 2 — Granulacion en olla:</w:t>
      </w:r>
      <w:r>
        <w:t xml:space="preserve"> </w:t>
      </w:r>
      <w:r>
        <w:t xml:space="preserve">El material mezclado se alimenta desde la tolva a la olla granuladora. En la olla se adiciona el aglomerante (agua o miel) en la cantidad definida por el Jefe de Produccion para el producto. La rotacion de la olla provoca la aglomeracion de las particulas formando el granulo.</w:t>
      </w:r>
    </w:p>
    <w:p>
      <w:pPr>
        <w:pStyle w:val="BodyText"/>
      </w:pPr>
      <w:r>
        <w:rPr>
          <w:b/>
          <w:bCs/>
        </w:rPr>
        <w:t xml:space="preserve">Paso 3 — Secado:</w:t>
      </w:r>
      <w:r>
        <w:t xml:space="preserve"> </w:t>
      </w:r>
      <w:r>
        <w:t xml:space="preserve">El granulo formado pasa al tubo secador, donde se reduce su contenido de humedad mediante calor. La temperatura del tubo secador se mantiene dentro del rango definido por el Jefe de Produccion para cada producto.</w:t>
      </w:r>
    </w:p>
    <w:p>
      <w:pPr>
        <w:pStyle w:val="BodyText"/>
      </w:pPr>
      <w:r>
        <w:rPr>
          <w:b/>
          <w:bCs/>
        </w:rPr>
        <w:t xml:space="preserve">Paso 4 — Separacion de finos:</w:t>
      </w:r>
      <w:r>
        <w:t xml:space="preserve"> </w:t>
      </w:r>
      <w:r>
        <w:t xml:space="preserve">El material seco pasa por el separador de finos. Las particulas por debajo del tamano minimo especificado (finos) son retenidas y recirculadas a la olla granuladora para su reaglomeracion.</w:t>
      </w:r>
    </w:p>
    <w:p>
      <w:pPr>
        <w:pStyle w:val="BodyText"/>
      </w:pPr>
      <w:r>
        <w:rPr>
          <w:b/>
          <w:bCs/>
        </w:rPr>
        <w:t xml:space="preserve">Paso 5 — Separacion de gruesos:</w:t>
      </w:r>
      <w:r>
        <w:t xml:space="preserve"> </w:t>
      </w:r>
      <w:r>
        <w:t xml:space="preserve">El material dentro del rango pasa por el separador de gruesos. Las particulas por encima del tamano maximo especificado (gruesos) son retenidas, molidas y reincorporadas al proceso como material de reproceso interno.</w:t>
      </w:r>
    </w:p>
    <w:p>
      <w:pPr>
        <w:pStyle w:val="BodyText"/>
      </w:pPr>
      <w:r>
        <w:rPr>
          <w:b/>
          <w:bCs/>
        </w:rPr>
        <w:t xml:space="preserve">Paso 6 — Enfriamiento:</w:t>
      </w:r>
      <w:r>
        <w:t xml:space="preserve"> </w:t>
      </w:r>
      <w:r>
        <w:t xml:space="preserve">El granulo conforme (dentro del rango de tamano especificado) pasa por el tubo enfriador, donde se reduce su temperatura hasta condiciones aptas para el envasado.</w:t>
      </w:r>
    </w:p>
    <w:p>
      <w:pPr>
        <w:pStyle w:val="BodyText"/>
      </w:pPr>
      <w:r>
        <w:rPr>
          <w:b/>
          <w:bCs/>
        </w:rPr>
        <w:t xml:space="preserve">Paso 7 — Recoleccion:</w:t>
      </w:r>
      <w:r>
        <w:t xml:space="preserve"> </w:t>
      </w:r>
      <w:r>
        <w:t xml:space="preserve">El granulo enfriado se recolecta y pasa a la etapa de envase.</w:t>
      </w:r>
    </w:p>
    <w:p>
      <w:pPr>
        <w:pStyle w:val="BodyText"/>
      </w:pPr>
      <w:r>
        <w:rPr>
          <w:i/>
          <w:iCs/>
        </w:rPr>
        <w:t xml:space="preserve">(Referencia: POE 3.08)</w:t>
      </w:r>
    </w:p>
    <w:p>
      <w:r>
        <w:pict>
          <v:rect style="width:0;height:1.5pt" o:hralign="center" o:hrstd="t" o:hr="t"/>
        </w:pict>
      </w:r>
    </w:p>
    <w:bookmarkEnd w:id="25"/>
    <w:bookmarkStart w:id="26" w:name="envase"/>
    <w:p>
      <w:pPr>
        <w:pStyle w:val="Heading2"/>
      </w:pPr>
      <w:r>
        <w:t xml:space="preserve">5. ENVASE</w:t>
      </w:r>
    </w:p>
    <w:p>
      <w:pPr>
        <w:pStyle w:val="FirstParagraph"/>
      </w:pPr>
      <w:r>
        <w:t xml:space="preserve">El granel (procedente de Proceso A o B) se envasa en:</w:t>
      </w:r>
      <w:r>
        <w:t xml:space="preserve"> </w:t>
      </w:r>
      <w:r>
        <w:t xml:space="preserve">-</w:t>
      </w:r>
      <w:r>
        <w:t xml:space="preserve"> </w:t>
      </w:r>
      <w:r>
        <w:rPr>
          <w:b/>
          <w:bCs/>
        </w:rPr>
        <w:t xml:space="preserve">Sacos</w:t>
      </w:r>
      <w:r>
        <w:t xml:space="preserve"> </w:t>
      </w:r>
      <w:r>
        <w:t xml:space="preserve">(presentacion estandar, peso segun producto).</w:t>
      </w:r>
      <w:r>
        <w:t xml:space="preserve"> </w:t>
      </w:r>
      <w:r>
        <w:t xml:space="preserve">-</w:t>
      </w:r>
      <w:r>
        <w:t xml:space="preserve"> </w:t>
      </w:r>
      <w:r>
        <w:rPr>
          <w:b/>
          <w:bCs/>
        </w:rPr>
        <w:t xml:space="preserve">Big bag</w:t>
      </w:r>
      <w:r>
        <w:t xml:space="preserve"> </w:t>
      </w:r>
      <w:r>
        <w:t xml:space="preserve">(presentacion a granel para clientes que lo requieran).</w:t>
      </w:r>
    </w:p>
    <w:p>
      <w:pPr>
        <w:pStyle w:val="BodyText"/>
      </w:pPr>
      <w:r>
        <w:t xml:space="preserve">El pesaje se realiza en dos puntos: primero en planta por el operario de produccion (tolerancia ±1%) y luego en alistamiento para verificacion. Si hay discrepancia entre ambos puntos, se repite el pesaje en las dos basulas antes de continuar.</w:t>
      </w:r>
    </w:p>
    <w:p>
      <w:pPr>
        <w:pStyle w:val="BodyText"/>
      </w:pPr>
      <w:r>
        <w:t xml:space="preserve">El envase se sella inmediatamente despues del pesaje.</w:t>
      </w:r>
    </w:p>
    <w:p>
      <w:pPr>
        <w:pStyle w:val="BodyText"/>
      </w:pPr>
      <w:r>
        <w:rPr>
          <w:i/>
          <w:iCs/>
        </w:rPr>
        <w:t xml:space="preserve">(Referencia: POE 3.10)</w:t>
      </w:r>
    </w:p>
    <w:p>
      <w:r>
        <w:pict>
          <v:rect style="width:0;height:1.5pt" o:hralign="center" o:hrstd="t" o:hr="t"/>
        </w:pict>
      </w:r>
    </w:p>
    <w:bookmarkEnd w:id="26"/>
    <w:bookmarkStart w:id="27" w:name="etiquetado"/>
    <w:p>
      <w:pPr>
        <w:pStyle w:val="Heading2"/>
      </w:pPr>
      <w:r>
        <w:t xml:space="preserve">6. ETIQUETADO</w:t>
      </w:r>
    </w:p>
    <w:p>
      <w:pPr>
        <w:pStyle w:val="FirstParagraph"/>
      </w:pPr>
      <w:r>
        <w:t xml:space="preserve">El etiquetado de cada unidad se realiza con base en la copia textual de la etiqueta aprobada por el ICA para el producto correspondiente. No se permite ningun texto, composicion ni informacion diferente a la del arte aprobado. Calidad entrega al Supervisor el patron de etiqueta aprobado antes de iniciar el lote.</w:t>
      </w:r>
    </w:p>
    <w:p>
      <w:pPr>
        <w:pStyle w:val="BodyText"/>
      </w:pPr>
      <w:r>
        <w:rPr>
          <w:i/>
          <w:iCs/>
        </w:rPr>
        <w:t xml:space="preserve">(Referencia: POE 3.10)</w:t>
      </w:r>
    </w:p>
    <w:p>
      <w:r>
        <w:pict>
          <v:rect style="width:0;height:1.5pt" o:hralign="center" o:hrstd="t" o:hr="t"/>
        </w:pict>
      </w:r>
    </w:p>
    <w:bookmarkEnd w:id="27"/>
    <w:bookmarkStart w:id="28" w:name="almacenamiento-de-producto-terminado"/>
    <w:p>
      <w:pPr>
        <w:pStyle w:val="Heading2"/>
      </w:pPr>
      <w:r>
        <w:t xml:space="preserve">7. ALMACENAMIENTO DE PRODUCTO TERMINADO</w:t>
      </w:r>
    </w:p>
    <w:p>
      <w:pPr>
        <w:pStyle w:val="FirstParagraph"/>
      </w:pPr>
      <w:r>
        <w:t xml:space="preserve">El producto terminado y envasado se traslada a bodega en estado de cuarentena mientras se completa el proceso de liberacion del lote. La ubicacion dentro de la bodega es definida por el Jefe de Bodega segun disponibilidad y condiciones de compatibilidad.</w:t>
      </w:r>
    </w:p>
    <w:p>
      <w:pPr>
        <w:pStyle w:val="BodyText"/>
      </w:pPr>
      <w:r>
        <w:t xml:space="preserve">El producto no puede ser despachado ni movido fuera de la zona de cuarentena hasta que Calidad emita la autorizacion de liberacion.</w:t>
      </w:r>
    </w:p>
    <w:p>
      <w:pPr>
        <w:pStyle w:val="BodyText"/>
      </w:pPr>
      <w:r>
        <w:rPr>
          <w:i/>
          <w:iCs/>
        </w:rPr>
        <w:t xml:space="preserve">(Referencia: POE 3.12)</w:t>
      </w:r>
    </w:p>
    <w:p>
      <w:r>
        <w:pict>
          <v:rect style="width:0;height:1.5pt" o:hralign="center" o:hrstd="t" o:hr="t"/>
        </w:pict>
      </w:r>
    </w:p>
    <w:bookmarkEnd w:id="28"/>
    <w:bookmarkStart w:id="29" w:name="liberacion-del-lote"/>
    <w:p>
      <w:pPr>
        <w:pStyle w:val="Heading2"/>
      </w:pPr>
      <w:r>
        <w:t xml:space="preserve">8. LIBERACION DEL LOTE</w:t>
      </w:r>
    </w:p>
    <w:p>
      <w:pPr>
        <w:pStyle w:val="FirstParagraph"/>
      </w:pPr>
      <w:r>
        <w:t xml:space="preserve">La liberacion del lote es autorizada por el Director Tecnico una vez se verifiquen los dos documentos obligatorios del expediente:</w:t>
      </w:r>
    </w:p>
    <w:p>
      <w:pPr>
        <w:pStyle w:val="Compact"/>
        <w:numPr>
          <w:ilvl w:val="0"/>
          <w:numId w:val="1001"/>
        </w:numPr>
      </w:pPr>
      <w:r>
        <w:rPr>
          <w:b/>
          <w:bCs/>
        </w:rPr>
        <w:t xml:space="preserve">Certificado de Calidad:</w:t>
      </w:r>
      <w:r>
        <w:t xml:space="preserve"> </w:t>
      </w:r>
      <w:r>
        <w:t xml:space="preserve">resultado analitico del lote conforme con el Registro ICA del producto.</w:t>
      </w:r>
    </w:p>
    <w:p>
      <w:pPr>
        <w:pStyle w:val="Compact"/>
        <w:numPr>
          <w:ilvl w:val="0"/>
          <w:numId w:val="1001"/>
        </w:numPr>
      </w:pPr>
      <w:r>
        <w:rPr>
          <w:b/>
          <w:bCs/>
        </w:rPr>
        <w:t xml:space="preserve">Balance de Materias Primas:</w:t>
      </w:r>
      <w:r>
        <w:t xml:space="preserve"> </w:t>
      </w:r>
      <w:r>
        <w:t xml:space="preserve">aprobado, confirmando que los ingredientes y cantidades coinciden con la Orden de Produccion.</w:t>
      </w:r>
    </w:p>
    <w:p>
      <w:pPr>
        <w:pStyle w:val="FirstParagraph"/>
      </w:pPr>
      <w:r>
        <w:t xml:space="preserve">Solo con ambos documentos conformes se autoriza el despacho del producto.</w:t>
      </w:r>
    </w:p>
    <w:p>
      <w:pPr>
        <w:pStyle w:val="BodyText"/>
      </w:pPr>
      <w:r>
        <w:rPr>
          <w:i/>
          <w:iCs/>
        </w:rPr>
        <w:t xml:space="preserve">(Referencia: POE 3.05, POE 3.12)</w:t>
      </w:r>
    </w:p>
    <w:p>
      <w:r>
        <w:pict>
          <v:rect style="width:0;height:1.5pt" o:hralign="center" o:hrstd="t" o:hr="t"/>
        </w:pict>
      </w:r>
    </w:p>
    <w:bookmarkEnd w:id="29"/>
    <w:bookmarkStart w:id="30" w:name="control-de-cambios"/>
    <w:p>
      <w:pPr>
        <w:pStyle w:val="Heading2"/>
      </w:pPr>
      <w:r>
        <w:t xml:space="preserve">9. CONTROL DE CAMBIOS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FECHA</w:t>
            </w:r>
          </w:p>
        </w:tc>
        <w:tc>
          <w:tcPr/>
          <w:p>
            <w:pPr>
              <w:pStyle w:val="Compact"/>
            </w:pPr>
            <w:r>
              <w:t xml:space="preserve">DESCRIPCION</w:t>
            </w:r>
          </w:p>
        </w:tc>
      </w:tr>
      <w:tr>
        <w:tc>
          <w:tcPr/>
          <w:p>
            <w:pPr>
              <w:pStyle w:val="Compact"/>
            </w:pPr>
            <w:r>
              <w:t xml:space="preserve">01</w:t>
            </w:r>
          </w:p>
        </w:tc>
        <w:tc>
          <w:tcPr/>
          <w:p>
            <w:pPr>
              <w:pStyle w:val="Compact"/>
            </w:pPr>
            <w:r>
              <w:t xml:space="preserve">2026-03-05</w:t>
            </w:r>
          </w:p>
        </w:tc>
        <w:tc>
          <w:tcPr/>
          <w:p>
            <w:pPr>
              <w:pStyle w:val="Compact"/>
            </w:pPr>
            <w:r>
              <w:t xml:space="preserve">Emision inicial. Descripcion narrativa del flujo del proceso como soporte al requisito 1.4. Pendiente elaboracion de diagrama grafico.</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2026-05-24T16:26:40Z</dcterms:created>
  <dcterms:modified xsi:type="dcterms:W3CDTF">2026-05-24T16:26:40Z</dcterms:modified>
</cp:coreProperties>
</file>

<file path=docProps/custom.xml><?xml version="1.0" encoding="utf-8"?>
<Properties xmlns="http://schemas.openxmlformats.org/officeDocument/2006/custom-properties" xmlns:vt="http://schemas.openxmlformats.org/officeDocument/2006/docPropsVTypes"/>
</file>