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734f905fe2b32309b73a9003ccb3493fb5c59e"/>
    <w:p>
      <w:pPr>
        <w:pStyle w:val="Heading1"/>
      </w:pPr>
      <w:r>
        <w:t xml:space="preserve">DIAGRAMA DE FLUJO DEL PROCESO DE FABRICACIÓN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PRÓXIMA REVISIÓN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CGC-DFP-1.4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2026-03-05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meses o ante cambio de proceso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Describir gráficamente el flujo completo del proceso de fabricación y formulación de fertilizantes de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, desde la recepción de materias primas hasta el almacenamiento de producto terminado, en coherencia con los POEs documentados y las instalaciones físicas visitadas por el ICA.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todos los productos fabricados y formulados en planta propia, incluyendo mezclas físicas, granulados, y productos de micronutrientes. Referencia cruzada: POEs 3.01 a 3.17.</w:t>
      </w:r>
    </w:p>
    <w:bookmarkEnd w:id="21"/>
    <w:bookmarkStart w:id="22" w:name="diagrama-de-flujo-general-del-proceso"/>
    <w:p>
      <w:pPr>
        <w:pStyle w:val="Heading2"/>
      </w:pPr>
      <w:r>
        <w:t xml:space="preserve">3. DIAGRAMA DE FLUJO GENERAL DEL PROCESO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A([INICIO]) --&gt; B</w:t>
      </w:r>
      <w:r>
        <w:br/>
      </w:r>
      <w:r>
        <w:br/>
      </w:r>
      <w:r>
        <w:rPr>
          <w:rStyle w:val="VerbatimChar"/>
        </w:rPr>
        <w:t xml:space="preserve">    subgraph REC ["POE-3.01 | RECEPCIÓN DE MATERIAS PRIMAS"]</w:t>
      </w:r>
      <w:r>
        <w:br/>
      </w:r>
      <w:r>
        <w:rPr>
          <w:rStyle w:val="VerbatimChar"/>
        </w:rPr>
        <w:t xml:space="preserve">        B[Llegada de MP a planta\nVehículo proveedor] --&gt; C{Verificación\ndocumental\nRemisión / CoA / FDS}</w:t>
      </w:r>
      <w:r>
        <w:br/>
      </w:r>
      <w:r>
        <w:rPr>
          <w:rStyle w:val="VerbatimChar"/>
        </w:rPr>
        <w:t xml:space="preserve">        C --&gt;|No conforme| D[Rechazo y devolución\nRegistro de Rechazo]</w:t>
      </w:r>
      <w:r>
        <w:br/>
      </w:r>
      <w:r>
        <w:rPr>
          <w:rStyle w:val="VerbatimChar"/>
        </w:rPr>
        <w:t xml:space="preserve">        C --&gt;|Conforme| E[Pesaje en báscula\nAsignación Lote MP]</w:t>
      </w:r>
      <w:r>
        <w:br/>
      </w:r>
      <w:r>
        <w:rPr>
          <w:rStyle w:val="VerbatimChar"/>
        </w:rPr>
        <w:t xml:space="preserve">        E --&gt; F[Inspección física\nMuestra para CC]</w:t>
      </w:r>
      <w:r>
        <w:br/>
      </w:r>
      <w:r>
        <w:rPr>
          <w:rStyle w:val="VerbatimChar"/>
        </w:rPr>
        <w:t xml:space="preserve">        F --&gt; G{¿Aprobada por\nControl Calidad?}</w:t>
      </w:r>
      <w:r>
        <w:br/>
      </w:r>
      <w:r>
        <w:rPr>
          <w:rStyle w:val="VerbatimChar"/>
        </w:rPr>
        <w:t xml:space="preserve">        G --&gt;|No aprobada| H[Cuarentena / Rechazo\nRegistro F-3.01-02]</w:t>
      </w:r>
      <w:r>
        <w:br/>
      </w:r>
      <w:r>
        <w:rPr>
          <w:rStyle w:val="VerbatimChar"/>
        </w:rPr>
        <w:t xml:space="preserve">        G --&gt;|Aprobada| I[Almacenamiento en bodega MP\nEtiquetado de lote]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BAL ["POE-3.05 | BALANCE DE MATERIAS PRIMAS"]</w:t>
      </w:r>
      <w:r>
        <w:br/>
      </w:r>
      <w:r>
        <w:rPr>
          <w:rStyle w:val="VerbatimChar"/>
        </w:rPr>
        <w:t xml:space="preserve">        I --&gt; J[Revisión de fórmula\nOrden de Producción]</w:t>
      </w:r>
      <w:r>
        <w:br/>
      </w:r>
      <w:r>
        <w:rPr>
          <w:rStyle w:val="VerbatimChar"/>
        </w:rPr>
        <w:t xml:space="preserve">        J --&gt; K[Pesaje de ingredientes\nsegún formulación]</w:t>
      </w:r>
      <w:r>
        <w:br/>
      </w:r>
      <w:r>
        <w:rPr>
          <w:rStyle w:val="VerbatimChar"/>
        </w:rPr>
        <w:t xml:space="preserve">        K --&gt; L[Verificación de pesos\nRegistro F-3.05]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MOL ["POE-3.03 | MOLIENDA PRIMARIA (cuando aplica)"]</w:t>
      </w:r>
      <w:r>
        <w:br/>
      </w:r>
      <w:r>
        <w:rPr>
          <w:rStyle w:val="VerbatimChar"/>
        </w:rPr>
        <w:t xml:space="preserve">        L --&gt; M{¿Requiere\nmolienda?}</w:t>
      </w:r>
      <w:r>
        <w:br/>
      </w:r>
      <w:r>
        <w:rPr>
          <w:rStyle w:val="VerbatimChar"/>
        </w:rPr>
        <w:t xml:space="preserve">        M --&gt;|Sí| N[Molienda de MP\nhasta granulometría requerida]</w:t>
      </w:r>
      <w:r>
        <w:br/>
      </w:r>
      <w:r>
        <w:rPr>
          <w:rStyle w:val="VerbatimChar"/>
        </w:rPr>
        <w:t xml:space="preserve">        M --&gt;|No| O</w:t>
      </w:r>
      <w:r>
        <w:br/>
      </w:r>
      <w:r>
        <w:rPr>
          <w:rStyle w:val="VerbatimChar"/>
        </w:rPr>
        <w:t xml:space="preserve">        N --&gt; O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MZC ["POE-3.06 | MEZCLA / HOMOGENIZACIÓN"]</w:t>
      </w:r>
      <w:r>
        <w:br/>
      </w:r>
      <w:r>
        <w:rPr>
          <w:rStyle w:val="VerbatimChar"/>
        </w:rPr>
        <w:t xml:space="preserve">        O[Carga de ingredientes\nen mezclador] --&gt; P[Mezcla según secuencia\ny tiempo establecido]</w:t>
      </w:r>
      <w:r>
        <w:br/>
      </w:r>
      <w:r>
        <w:rPr>
          <w:rStyle w:val="VerbatimChar"/>
        </w:rPr>
        <w:t xml:space="preserve">        P --&gt; Q[Verificación de\nhomogeneidad visual]</w:t>
      </w:r>
      <w:r>
        <w:br/>
      </w:r>
      <w:r>
        <w:rPr>
          <w:rStyle w:val="VerbatimChar"/>
        </w:rPr>
        <w:t xml:space="preserve">        Q --&gt; R{¿Mezcla\nhomogénea?}</w:t>
      </w:r>
      <w:r>
        <w:br/>
      </w:r>
      <w:r>
        <w:rPr>
          <w:rStyle w:val="VerbatimChar"/>
        </w:rPr>
        <w:t xml:space="preserve">        R --&gt;|No| P</w:t>
      </w:r>
      <w:r>
        <w:br/>
      </w:r>
      <w:r>
        <w:rPr>
          <w:rStyle w:val="VerbatimChar"/>
        </w:rPr>
        <w:t xml:space="preserve">        R --&gt;|Sí| S[Descarga de mezcla\nRegistro F-3.06]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GRA ["POE-3.08 | PRESENTACIÓN FÍSICA / GRANULACIÓN (cuando aplica)"]</w:t>
      </w:r>
      <w:r>
        <w:br/>
      </w:r>
      <w:r>
        <w:rPr>
          <w:rStyle w:val="VerbatimChar"/>
        </w:rPr>
        <w:t xml:space="preserve">        S --&gt; T{¿Requiere\ngranulación?}</w:t>
      </w:r>
      <w:r>
        <w:br/>
      </w:r>
      <w:r>
        <w:rPr>
          <w:rStyle w:val="VerbatimChar"/>
        </w:rPr>
        <w:t xml:space="preserve">        T --&gt;|Sí - Granulado| U[Granulación\nTamizado y clasificación]</w:t>
      </w:r>
      <w:r>
        <w:br/>
      </w:r>
      <w:r>
        <w:rPr>
          <w:rStyle w:val="VerbatimChar"/>
        </w:rPr>
        <w:t xml:space="preserve">        T --&gt;|No - Polvo/Granular| V</w:t>
      </w:r>
      <w:r>
        <w:br/>
      </w:r>
      <w:r>
        <w:rPr>
          <w:rStyle w:val="VerbatimChar"/>
        </w:rPr>
        <w:t xml:space="preserve">        U --&gt; V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ENV ["POE-3.10 | ENVASE"]</w:t>
      </w:r>
      <w:r>
        <w:br/>
      </w:r>
      <w:r>
        <w:rPr>
          <w:rStyle w:val="VerbatimChar"/>
        </w:rPr>
        <w:t xml:space="preserve">        V[Llenado de sacos\nsegún presentación] --&gt; W[Pesaje de sacos\nControl de peso]</w:t>
      </w:r>
      <w:r>
        <w:br/>
      </w:r>
      <w:r>
        <w:rPr>
          <w:rStyle w:val="VerbatimChar"/>
        </w:rPr>
        <w:t xml:space="preserve">        W --&gt; X[Cierre y sellado]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COD ["POE-3.11 | CODIFICACIÓN DE LOTES"]</w:t>
      </w:r>
      <w:r>
        <w:br/>
      </w:r>
      <w:r>
        <w:rPr>
          <w:rStyle w:val="VerbatimChar"/>
        </w:rPr>
        <w:t xml:space="preserve">        X --&gt; Y[Impresión / estampado\nde código de lote]</w:t>
      </w:r>
      <w:r>
        <w:br/>
      </w:r>
      <w:r>
        <w:rPr>
          <w:rStyle w:val="VerbatimChar"/>
        </w:rPr>
        <w:t xml:space="preserve">        Y --&gt; Z[Fecha de fabricación\nFecha de vencimiento]</w:t>
      </w:r>
      <w:r>
        <w:br/>
      </w:r>
      <w:r>
        <w:rPr>
          <w:rStyle w:val="VerbatimChar"/>
        </w:rPr>
        <w:t xml:space="preserve">        Z --&gt; AA[Registro F-3.11]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MUE ["POE-3.13 | MUESTREO Y CONTROL DE CALIDAD"]</w:t>
      </w:r>
      <w:r>
        <w:br/>
      </w:r>
      <w:r>
        <w:rPr>
          <w:rStyle w:val="VerbatimChar"/>
        </w:rPr>
        <w:t xml:space="preserve">        AA --&gt; AB[Toma de muestras\ndel lote producido]</w:t>
      </w:r>
      <w:r>
        <w:br/>
      </w:r>
      <w:r>
        <w:rPr>
          <w:rStyle w:val="VerbatimChar"/>
        </w:rPr>
        <w:t xml:space="preserve">        AB --&gt; AC[Envío a laboratorio\nexterno acreditado]</w:t>
      </w:r>
      <w:r>
        <w:br/>
      </w:r>
      <w:r>
        <w:rPr>
          <w:rStyle w:val="VerbatimChar"/>
        </w:rPr>
        <w:t xml:space="preserve">        AC --&gt; AD{¿Resultados\nconformes?}</w:t>
      </w:r>
      <w:r>
        <w:br/>
      </w:r>
      <w:r>
        <w:rPr>
          <w:rStyle w:val="VerbatimChar"/>
        </w:rPr>
        <w:t xml:space="preserve">        AD --&gt;|No conforme| AE[Producto No Conforme\nRetrabajo o disposición]</w:t>
      </w:r>
      <w:r>
        <w:br/>
      </w:r>
      <w:r>
        <w:rPr>
          <w:rStyle w:val="VerbatimChar"/>
        </w:rPr>
        <w:t xml:space="preserve">        AD --&gt;|Conforme| AF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LIB ["POE-3.12 | LIBERACIÓN DE LOTES"]</w:t>
      </w:r>
      <w:r>
        <w:br/>
      </w:r>
      <w:r>
        <w:rPr>
          <w:rStyle w:val="VerbatimChar"/>
        </w:rPr>
        <w:t xml:space="preserve">        AF[Revisión de registros\nde producción] --&gt; AG{Aprobación\nDirector Técnico}</w:t>
      </w:r>
      <w:r>
        <w:br/>
      </w:r>
      <w:r>
        <w:rPr>
          <w:rStyle w:val="VerbatimChar"/>
        </w:rPr>
        <w:t xml:space="preserve">        AG --&gt;|Aprobado| AH[Emisión Certificado\nde Liberación F-3.12]</w:t>
      </w:r>
      <w:r>
        <w:br/>
      </w:r>
      <w:r>
        <w:rPr>
          <w:rStyle w:val="VerbatimChar"/>
        </w:rPr>
        <w:t xml:space="preserve">        AG --&gt;|Rechazado| AE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ALM ["POE-3.17 | ALMACENAMIENTO PRODUCTO TERMINADO"]</w:t>
      </w:r>
      <w:r>
        <w:br/>
      </w:r>
      <w:r>
        <w:rPr>
          <w:rStyle w:val="VerbatimChar"/>
        </w:rPr>
        <w:t xml:space="preserve">        AH --&gt; AI[Traslado a bodega PT\nUbicación por lote]</w:t>
      </w:r>
      <w:r>
        <w:br/>
      </w:r>
      <w:r>
        <w:rPr>
          <w:rStyle w:val="VerbatimChar"/>
        </w:rPr>
        <w:t xml:space="preserve">        AI --&gt; AJ[Registro en\nKardex PT]</w:t>
      </w:r>
      <w:r>
        <w:br/>
      </w:r>
      <w:r>
        <w:rPr>
          <w:rStyle w:val="VerbatimChar"/>
        </w:rPr>
        <w:t xml:space="preserve">        AJ --&gt; AK[Disponible para\ndistribución y venta]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AK --&gt; AL([FIN])</w:t>
      </w:r>
      <w:r>
        <w:br/>
      </w:r>
      <w:r>
        <w:br/>
      </w:r>
      <w:r>
        <w:rPr>
          <w:rStyle w:val="VerbatimChar"/>
        </w:rPr>
        <w:t xml:space="preserve">    subgraph CTR ["POE-3.14 | CONTRAMUESTRAS (paralelo)"]</w:t>
      </w:r>
      <w:r>
        <w:br/>
      </w:r>
      <w:r>
        <w:rPr>
          <w:rStyle w:val="VerbatimChar"/>
        </w:rPr>
        <w:t xml:space="preserve">        AH --&gt; AM[Separación de\ncontramuestra]</w:t>
      </w:r>
      <w:r>
        <w:br/>
      </w:r>
      <w:r>
        <w:rPr>
          <w:rStyle w:val="VerbatimChar"/>
        </w:rPr>
        <w:t xml:space="preserve">        AM --&gt; AN[Almacenamiento en\nárea de contramuestras]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style REC fill:#e8f4fd,stroke:#2980b9</w:t>
      </w:r>
      <w:r>
        <w:br/>
      </w:r>
      <w:r>
        <w:rPr>
          <w:rStyle w:val="VerbatimChar"/>
        </w:rPr>
        <w:t xml:space="preserve">    style BAL fill:#e8f9e8,stroke:#27ae60</w:t>
      </w:r>
      <w:r>
        <w:br/>
      </w:r>
      <w:r>
        <w:rPr>
          <w:rStyle w:val="VerbatimChar"/>
        </w:rPr>
        <w:t xml:space="preserve">    style MOL fill:#fef9e7,stroke:#f39c12</w:t>
      </w:r>
      <w:r>
        <w:br/>
      </w:r>
      <w:r>
        <w:rPr>
          <w:rStyle w:val="VerbatimChar"/>
        </w:rPr>
        <w:t xml:space="preserve">    style MZC fill:#e8f4fd,stroke:#2980b9</w:t>
      </w:r>
      <w:r>
        <w:br/>
      </w:r>
      <w:r>
        <w:rPr>
          <w:rStyle w:val="VerbatimChar"/>
        </w:rPr>
        <w:t xml:space="preserve">    style GRA fill:#fef9e7,stroke:#f39c12</w:t>
      </w:r>
      <w:r>
        <w:br/>
      </w:r>
      <w:r>
        <w:rPr>
          <w:rStyle w:val="VerbatimChar"/>
        </w:rPr>
        <w:t xml:space="preserve">    style ENV fill:#e8f4fd,stroke:#2980b9</w:t>
      </w:r>
      <w:r>
        <w:br/>
      </w:r>
      <w:r>
        <w:rPr>
          <w:rStyle w:val="VerbatimChar"/>
        </w:rPr>
        <w:t xml:space="preserve">    style COD fill:#fdf2f8,stroke:#8e44ad</w:t>
      </w:r>
      <w:r>
        <w:br/>
      </w:r>
      <w:r>
        <w:rPr>
          <w:rStyle w:val="VerbatimChar"/>
        </w:rPr>
        <w:t xml:space="preserve">    style MUE fill:#fef9e7,stroke:#f39c12</w:t>
      </w:r>
      <w:r>
        <w:br/>
      </w:r>
      <w:r>
        <w:rPr>
          <w:rStyle w:val="VerbatimChar"/>
        </w:rPr>
        <w:t xml:space="preserve">    style LIB fill:#e8f9e8,stroke:#27ae60</w:t>
      </w:r>
      <w:r>
        <w:br/>
      </w:r>
      <w:r>
        <w:rPr>
          <w:rStyle w:val="VerbatimChar"/>
        </w:rPr>
        <w:t xml:space="preserve">    style ALM fill:#e8f4fd,stroke:#2980b9</w:t>
      </w:r>
      <w:r>
        <w:br/>
      </w:r>
      <w:r>
        <w:rPr>
          <w:rStyle w:val="VerbatimChar"/>
        </w:rPr>
        <w:t xml:space="preserve">    style CTR fill:#fdf2f8,stroke:#8e44ad</w:t>
      </w:r>
    </w:p>
    <w:bookmarkEnd w:id="22"/>
    <w:bookmarkStart w:id="23" w:name="descripción-de-etapas"/>
    <w:p>
      <w:pPr>
        <w:pStyle w:val="Heading2"/>
      </w:pPr>
      <w:r>
        <w:t xml:space="preserve">4. DESCRIPCIÓN DE ETAPAS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y almacenamiento de 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Almacenista /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F-3.01-01, F-3.01-02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Molienda primaria (cuando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Operario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de materias primas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Operario / Dirección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Mezcla / Homogenización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Operario de Mezcla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física / Granulación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Operario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Operario de Envase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Codificación de lotes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Operario /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Muestreo y control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Liberación de lotes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de contramuestras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producto terminado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Kardex PT</w:t>
            </w:r>
          </w:p>
        </w:tc>
      </w:tr>
    </w:tbl>
    <w:bookmarkEnd w:id="23"/>
    <w:bookmarkStart w:id="24" w:name="procesos-declarados-no-aplicables-na"/>
    <w:p>
      <w:pPr>
        <w:pStyle w:val="Heading2"/>
      </w:pPr>
      <w:r>
        <w:t xml:space="preserve">5. PROCESOS DECLARADOS NO APLICABLES (N/A)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Numeral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de Soporte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Tratamiento Térmico (Pirolisis)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ACTA-NA-3.04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Reacciones Químicas o Bioquímicas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ACTA-NA-3.07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Molienda secundaria (en flujo continuo)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POE-3.09 (declaración N/A interna)</w:t>
            </w:r>
          </w:p>
        </w:tc>
      </w:tr>
    </w:tbl>
    <w:bookmarkEnd w:id="24"/>
    <w:bookmarkStart w:id="25" w:name="procesos-adicionales-complementarios"/>
    <w:p>
      <w:pPr>
        <w:pStyle w:val="Heading2"/>
      </w:pPr>
      <w:r>
        <w:t xml:space="preserve">6. PROCESOS ADICIONALES (COMPLEMENTARIOS)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Numeral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Limpieza y desinfección de 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Higiene y seguridad 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al cliente y PQR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Disposición de residuos / barreduras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Formulaciones a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de MP en importación a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POE-3.20</w:t>
            </w:r>
          </w:p>
        </w:tc>
      </w:tr>
    </w:tbl>
    <w:bookmarkEnd w:id="25"/>
    <w:bookmarkStart w:id="26" w:name="control-de-cambios"/>
    <w:p>
      <w:pPr>
        <w:pStyle w:val="Heading2"/>
      </w:pPr>
      <w:r>
        <w:t xml:space="preserve">7. CONTROL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 del diagrama de flujo de proceso de fabricación.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2026-05-24T16:26:40Z</dcterms:created>
  <dcterms:modified xsi:type="dcterms:W3CDTF">2026-05-24T16:26:40Z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