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3df6441bc0e37bf2298a8a3fefa175fca125bc"/>
    <w:p>
      <w:pPr>
        <w:pStyle w:val="Heading1"/>
      </w:pPr>
      <w:r>
        <w:t xml:space="preserve">PROCEDIMIENTO OPERATIVO ESTANDARIZADO: SERVICIO AL CLIENTE Y PQR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POE-3.16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2026-03-17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el flujo para recepcion, registro, analisis, respuesta y cierre de peticiones, quejas y reclamos (PQR), garantizando oportunidad de respuesta, analisis tecnico suficiente, trazabilidad de decisiones y mejora continua.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PQR de clientes, distribuidores y terceros relacionadas con producto, despacho, servicio, entregas, documentacion comercial y soporte asociado, desde la captacion por cualquier canal hasta la respuesta final y cierre documentado del caso.</w:t>
      </w:r>
    </w:p>
    <w:bookmarkEnd w:id="21"/>
    <w:bookmarkStart w:id="22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t xml:space="preserve">PQR: Peticion, queja o reclamo.</w:t>
      </w:r>
    </w:p>
    <w:p>
      <w:pPr>
        <w:pStyle w:val="Compact"/>
        <w:numPr>
          <w:ilvl w:val="0"/>
          <w:numId w:val="1001"/>
        </w:numPr>
      </w:pPr>
      <w:r>
        <w:t xml:space="preserve">RPC: Reporte de problema de calidad asociado a una PQR tecnica.</w:t>
      </w:r>
    </w:p>
    <w:p>
      <w:pPr>
        <w:pStyle w:val="Compact"/>
        <w:numPr>
          <w:ilvl w:val="0"/>
          <w:numId w:val="1001"/>
        </w:numPr>
      </w:pPr>
      <w:r>
        <w:t xml:space="preserve">Cierre: Estado final con respuesta formal emitida y evidencia archivada.</w:t>
      </w:r>
    </w:p>
    <w:p>
      <w:pPr>
        <w:pStyle w:val="Compact"/>
        <w:numPr>
          <w:ilvl w:val="0"/>
          <w:numId w:val="1001"/>
        </w:numPr>
      </w:pPr>
      <w:r>
        <w:t xml:space="preserve">Caso no procedente: PQR verificada como no atribuible a Calferquim, pero igualmente respondida y cerrada con justificacion.</w:t>
      </w:r>
    </w:p>
    <w:bookmarkEnd w:id="22"/>
    <w:bookmarkStart w:id="23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t xml:space="preserve">DC-SI07 Quejas y Reclamos.</w:t>
      </w:r>
    </w:p>
    <w:p>
      <w:pPr>
        <w:pStyle w:val="Compact"/>
        <w:numPr>
          <w:ilvl w:val="0"/>
          <w:numId w:val="1002"/>
        </w:numPr>
      </w:pPr>
      <w:r>
        <w:t xml:space="preserve">DC-SI11 Servicio al Cliente.</w:t>
      </w:r>
    </w:p>
    <w:p>
      <w:pPr>
        <w:pStyle w:val="Compact"/>
        <w:numPr>
          <w:ilvl w:val="0"/>
          <w:numId w:val="1002"/>
        </w:numPr>
      </w:pPr>
      <w:r>
        <w:t xml:space="preserve">DC-SI13 Politica Servicio al Cliente.</w:t>
      </w:r>
    </w:p>
    <w:p>
      <w:pPr>
        <w:pStyle w:val="Compact"/>
        <w:numPr>
          <w:ilvl w:val="0"/>
          <w:numId w:val="1002"/>
        </w:numPr>
      </w:pPr>
      <w:r>
        <w:t xml:space="preserve">DC-SI15 Politica de Quejas y Reclamos.</w:t>
      </w:r>
    </w:p>
    <w:p>
      <w:pPr>
        <w:pStyle w:val="Compact"/>
        <w:numPr>
          <w:ilvl w:val="0"/>
          <w:numId w:val="1002"/>
        </w:numPr>
      </w:pPr>
      <w:r>
        <w:t xml:space="preserve">POE-3.16A Retiro de Producto (Recall).</w:t>
      </w:r>
    </w:p>
    <w:bookmarkEnd w:id="23"/>
    <w:bookmarkStart w:id="24" w:name="responsabilidades-y-politicas"/>
    <w:p>
      <w:pPr>
        <w:pStyle w:val="Heading2"/>
      </w:pPr>
      <w:r>
        <w:t xml:space="preserve">5. RESPONSABILIDADES Y POLITICAS</w:t>
      </w:r>
    </w:p>
    <w:p>
      <w:pPr>
        <w:pStyle w:val="Compact"/>
        <w:numPr>
          <w:ilvl w:val="0"/>
          <w:numId w:val="1003"/>
        </w:numPr>
      </w:pPr>
      <w:r>
        <w:t xml:space="preserve">Servicio al Cliente debe registrar toda PQR recibida por cualquier canal.</w:t>
      </w:r>
    </w:p>
    <w:p>
      <w:pPr>
        <w:pStyle w:val="Compact"/>
        <w:numPr>
          <w:ilvl w:val="0"/>
          <w:numId w:val="1003"/>
        </w:numPr>
      </w:pPr>
      <w:r>
        <w:t xml:space="preserve">Calidad debe investigar causas cuando exista impacto de calidad.</w:t>
      </w:r>
    </w:p>
    <w:p>
      <w:pPr>
        <w:pStyle w:val="Compact"/>
        <w:numPr>
          <w:ilvl w:val="0"/>
          <w:numId w:val="1003"/>
        </w:numPr>
      </w:pPr>
      <w:r>
        <w:t xml:space="preserve">Comercial, Logistica, Produccion o Facturacion deben suministrar informacion cuando la PQR involucre su proceso.</w:t>
      </w:r>
    </w:p>
    <w:p>
      <w:pPr>
        <w:pStyle w:val="Compact"/>
        <w:numPr>
          <w:ilvl w:val="0"/>
          <w:numId w:val="1003"/>
        </w:numPr>
      </w:pPr>
      <w:r>
        <w:t xml:space="preserve">Direccion Tecnica debe aprobar respuestas tecnicas criticas.</w:t>
      </w:r>
    </w:p>
    <w:p>
      <w:pPr>
        <w:pStyle w:val="Compact"/>
        <w:numPr>
          <w:ilvl w:val="0"/>
          <w:numId w:val="1003"/>
        </w:numPr>
      </w:pPr>
      <w:r>
        <w:t xml:space="preserve">La evaluacion del caso debe involucrar las areas necesarias segun la naturaleza del hecho.</w:t>
      </w:r>
    </w:p>
    <w:p>
      <w:pPr>
        <w:pStyle w:val="Compact"/>
        <w:numPr>
          <w:ilvl w:val="0"/>
          <w:numId w:val="1003"/>
        </w:numPr>
      </w:pPr>
      <w:r>
        <w:t xml:space="preserve">Se prohibe cerrar PQR sin evidencia de analisis y respuesta emitida.</w:t>
      </w:r>
    </w:p>
    <w:p>
      <w:pPr>
        <w:pStyle w:val="Compact"/>
        <w:numPr>
          <w:ilvl w:val="0"/>
          <w:numId w:val="1003"/>
        </w:numPr>
      </w:pPr>
      <w:r>
        <w:t xml:space="preserve">Toda PQR debe recibir respuesta formal, incluso cuando se determine que no procede.</w:t>
      </w:r>
    </w:p>
    <w:bookmarkEnd w:id="24"/>
    <w:bookmarkStart w:id="25" w:name="procedimiento"/>
    <w:p>
      <w:pPr>
        <w:pStyle w:val="Heading2"/>
      </w:pPr>
      <w:r>
        <w:t xml:space="preserve">6. PROCEDIMIENTO</w:t>
      </w:r>
    </w:p>
    <w:p>
      <w:pPr>
        <w:pStyle w:val="Compact"/>
        <w:numPr>
          <w:ilvl w:val="0"/>
          <w:numId w:val="1004"/>
        </w:numPr>
      </w:pPr>
      <w:r>
        <w:t xml:space="preserve">Servicio al Cliente, asesor comercial, Gerencia o area administrativa recibe la PQR y remite el caso para su registro inmediato.</w:t>
      </w:r>
    </w:p>
    <w:p>
      <w:pPr>
        <w:pStyle w:val="Compact"/>
        <w:numPr>
          <w:ilvl w:val="0"/>
          <w:numId w:val="1004"/>
        </w:numPr>
      </w:pPr>
      <w:r>
        <w:t xml:space="preserve">Servicio al Cliente asigna consecutivo en</w:t>
      </w:r>
      <w:r>
        <w:t xml:space="preserve"> </w:t>
      </w:r>
      <w:r>
        <w:rPr>
          <w:rStyle w:val="VerbatimChar"/>
        </w:rPr>
        <w:t xml:space="preserve">Formato_Registro_PQR_V1.csv</w:t>
      </w:r>
      <w:r>
        <w:t xml:space="preserve"> </w:t>
      </w:r>
      <w:r>
        <w:t xml:space="preserve">y registra como minimo: fecha, cliente, contacto, producto, lote cuando aplique, descripcion, cantidad afectada y soportes.</w:t>
      </w:r>
    </w:p>
    <w:p>
      <w:pPr>
        <w:pStyle w:val="Compact"/>
        <w:numPr>
          <w:ilvl w:val="0"/>
          <w:numId w:val="1004"/>
        </w:numPr>
      </w:pPr>
      <w:r>
        <w:t xml:space="preserve">Servicio al Cliente clasifica tipo (peticion, queja, reclamo), origen del caso y criticidad.</w:t>
      </w:r>
    </w:p>
    <w:p>
      <w:pPr>
        <w:pStyle w:val="Compact"/>
        <w:numPr>
          <w:ilvl w:val="0"/>
          <w:numId w:val="1004"/>
        </w:numPr>
      </w:pPr>
      <w:r>
        <w:t xml:space="preserve">Calidad coordina el analisis del caso con las areas involucradas. Si la situacion corresponde a calidad del producto, se revisan lote, antecedentes, condiciones de almacenamiento, despacho y soportes tecnicos.</w:t>
      </w:r>
    </w:p>
    <w:p>
      <w:pPr>
        <w:pStyle w:val="Compact"/>
        <w:numPr>
          <w:ilvl w:val="0"/>
          <w:numId w:val="1004"/>
        </w:numPr>
      </w:pPr>
      <w:r>
        <w:t xml:space="preserve">Cuando la informacion disponible no sea suficiente, se puede realizar visita tecnica al cliente o toma de muestra en sitio para ampliar el analisis.</w:t>
      </w:r>
    </w:p>
    <w:p>
      <w:pPr>
        <w:pStyle w:val="Compact"/>
        <w:numPr>
          <w:ilvl w:val="0"/>
          <w:numId w:val="1004"/>
        </w:numPr>
      </w:pPr>
      <w:r>
        <w:t xml:space="preserve">Si requiere investigacion tecnica, se abre RPC y se integra resultado; si aplica, se gestionan acciones correctivas/preventivas conforme al sistema de mejora.</w:t>
      </w:r>
    </w:p>
    <w:p>
      <w:pPr>
        <w:pStyle w:val="Compact"/>
        <w:numPr>
          <w:ilvl w:val="0"/>
          <w:numId w:val="1004"/>
        </w:numPr>
      </w:pPr>
      <w:r>
        <w:t xml:space="preserve">Si la PQR implica riesgo sanitario, incumplimiento de especificacion o posible afectacion de multiples lotes, se activa de inmediato</w:t>
      </w:r>
      <w:r>
        <w:t xml:space="preserve"> </w:t>
      </w:r>
      <w:r>
        <w:rPr>
          <w:rStyle w:val="VerbatimChar"/>
        </w:rPr>
        <w:t xml:space="preserve">POE_3.16A_Retiro_Producto_Recall_V1.md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Responsable del caso redacta la respuesta formal indicando hallazgos, causa, decision, acciones y, cuando aplique, justificacion de no procedencia.</w:t>
      </w:r>
    </w:p>
    <w:p>
      <w:pPr>
        <w:pStyle w:val="Compact"/>
        <w:numPr>
          <w:ilvl w:val="0"/>
          <w:numId w:val="1004"/>
        </w:numPr>
      </w:pPr>
      <w:r>
        <w:t xml:space="preserve">Direccion Tecnica aprueba la respuesta para casos tecnicos criticos o de alto impacto.</w:t>
      </w:r>
    </w:p>
    <w:p>
      <w:pPr>
        <w:pStyle w:val="Compact"/>
        <w:numPr>
          <w:ilvl w:val="0"/>
          <w:numId w:val="1004"/>
        </w:numPr>
      </w:pPr>
      <w:r>
        <w:t xml:space="preserve">Servicio al Cliente comunica la respuesta al cliente y registra fecha, canal y evidencia.</w:t>
      </w:r>
    </w:p>
    <w:p>
      <w:pPr>
        <w:pStyle w:val="Compact"/>
        <w:numPr>
          <w:ilvl w:val="0"/>
          <w:numId w:val="1004"/>
        </w:numPr>
      </w:pPr>
      <w:r>
        <w:t xml:space="preserve">Calidad cierra seguimiento en</w:t>
      </w:r>
      <w:r>
        <w:t xml:space="preserve"> </w:t>
      </w:r>
      <w:r>
        <w:rPr>
          <w:rStyle w:val="VerbatimChar"/>
        </w:rPr>
        <w:t xml:space="preserve">Registro_Seguimiento_PQR_V1.csv</w:t>
      </w:r>
      <w:r>
        <w:t xml:space="preserve">, verificando que toda accion comprometida quede trazable.</w:t>
      </w:r>
    </w:p>
    <w:bookmarkEnd w:id="25"/>
    <w:bookmarkStart w:id="26" w:name="criterios-de-control-y-aceptacion"/>
    <w:p>
      <w:pPr>
        <w:pStyle w:val="Heading2"/>
      </w:pPr>
      <w:r>
        <w:t xml:space="preserve">7. CRITERIOS DE CONTROL Y ACEPTACION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inicial</w:t>
            </w:r>
          </w:p>
        </w:tc>
        <w:tc>
          <w:tcPr/>
          <w:p>
            <w:pPr>
              <w:pStyle w:val="Compact"/>
            </w:pPr>
            <w:r>
              <w:t xml:space="preserve">PQR con consecutivo, cliente, lote y 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acuse</w:t>
            </w:r>
          </w:p>
        </w:tc>
        <w:tc>
          <w:tcPr/>
          <w:p>
            <w:pPr>
              <w:pStyle w:val="Compact"/>
            </w:pPr>
            <w:r>
              <w:t xml:space="preserve">Maximo 2 dias habiles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</w:pPr>
            <w:r>
              <w:t xml:space="preserve">Maximo 10 dias habiles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Gatillo de retiro/contencion</w:t>
            </w:r>
          </w:p>
        </w:tc>
        <w:tc>
          <w:tcPr/>
          <w:p>
            <w:pPr>
              <w:pStyle w:val="Compact"/>
            </w:pPr>
            <w:r>
              <w:t xml:space="preserve">Activacion inmediata ante riesgo critico 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Con decision definida, evidencia de comunicacion y trazabilidad del analisis</w:t>
            </w:r>
          </w:p>
        </w:tc>
      </w:tr>
    </w:tbl>
    <w:bookmarkEnd w:id="26"/>
    <w:bookmarkStart w:id="27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Formato_Registro_PQR_V1.csv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Registro_Seguimiento_PQR_V1.csv</w:t>
      </w:r>
    </w:p>
    <w:bookmarkEnd w:id="27"/>
    <w:bookmarkStart w:id="28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06"/>
        </w:numPr>
      </w:pPr>
      <w:r>
        <w:t xml:space="preserve">Anexo 1: Flujo de atencion PQR.</w:t>
      </w:r>
    </w:p>
    <w:p>
      <w:pPr>
        <w:pStyle w:val="Compact"/>
        <w:numPr>
          <w:ilvl w:val="0"/>
          <w:numId w:val="1006"/>
        </w:numPr>
      </w:pPr>
      <w:r>
        <w:t xml:space="preserve">Anexo 2: Tiempos de respuesta por criticidad.</w:t>
      </w:r>
    </w:p>
    <w:bookmarkEnd w:id="28"/>
    <w:bookmarkStart w:id="29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Emision inicial homologada unificando DC-SI07/DC-SI11.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2026-03-17</w:t>
            </w:r>
          </w:p>
        </w:tc>
        <w:tc>
          <w:tcPr/>
          <w:p>
            <w:pPr>
              <w:pStyle w:val="Compact"/>
            </w:pPr>
            <w:r>
              <w:t xml:space="preserve">Se ajusta a legacy: plazo maximo 10 dias habiles, analisis multidisciplinario, visita tecnica y respuesta obligatoria a casos no procedentes.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2026-05-24T17:06:11Z</dcterms:created>
  <dcterms:modified xsi:type="dcterms:W3CDTF">2026-05-24T17:06:11Z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