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procedimiento-operativo-estándar"/>
    <w:p>
      <w:pPr>
        <w:pStyle w:val="Heading1"/>
      </w:pPr>
      <w:r>
        <w:t xml:space="preserve">PROCEDIMIENTO OPERATIVO ESTÁNDAR</w:t>
      </w:r>
    </w:p>
    <w:bookmarkStart w:id="20" w:name="retiro-de-producto-recall"/>
    <w:p>
      <w:pPr>
        <w:pStyle w:val="Heading2"/>
      </w:pPr>
      <w:r>
        <w:t xml:space="preserve">RETIRO DE PRODUCTO (RECALL)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POE 7.02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 de emisión:</w:t>
      </w:r>
      <w:r>
        <w:t xml:space="preserve"> </w:t>
      </w:r>
      <w:r>
        <w:t xml:space="preserve">2026-05-19</w:t>
      </w:r>
      <w:r>
        <w:br/>
      </w:r>
      <w:r>
        <w:rPr>
          <w:b/>
          <w:bCs/>
        </w:rPr>
        <w:t xml:space="preserve">Aprobado por:</w:t>
      </w:r>
      <w:r>
        <w:t xml:space="preserve"> </w:t>
      </w:r>
      <w:r>
        <w:t xml:space="preserve">[Nombre del Gerente/Director Técnico]</w:t>
      </w:r>
      <w:r>
        <w:br/>
      </w:r>
      <w:r>
        <w:rPr>
          <w:b/>
          <w:bCs/>
        </w:rPr>
        <w:t xml:space="preserve">Área:</w:t>
      </w:r>
      <w:r>
        <w:t xml:space="preserve"> </w:t>
      </w:r>
      <w:r>
        <w:t xml:space="preserve">Calidad, Producción, Ventas, Dirección</w:t>
      </w:r>
    </w:p>
    <w:p>
      <w:r>
        <w:pict>
          <v:rect style="width:0;height:1.5pt" o:hralign="center" o:hrstd="t" o:hr="t"/>
        </w:pict>
      </w:r>
    </w:p>
    <w:bookmarkEnd w:id="20"/>
    <w:bookmarkStart w:id="2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el procedimiento para la identificación, notificación, retiro y disposición de productos que no cumplan con los requisitos de calidad, representen un riesgo para el usuario o deban ser retirados del mercado por razones regulatorias o de seguridad.</w:t>
      </w:r>
    </w:p>
    <w:bookmarkEnd w:id="21"/>
    <w:bookmarkStart w:id="22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procedimiento aplica a:</w:t>
      </w:r>
      <w:r>
        <w:t xml:space="preserve"> </w:t>
      </w:r>
      <w:r>
        <w:t xml:space="preserve">- Productos terminados liberados que posteriormente se identifiquen como no conformes</w:t>
      </w:r>
      <w:r>
        <w:t xml:space="preserve"> </w:t>
      </w:r>
      <w:r>
        <w:t xml:space="preserve">- Productos con riesgo para la salud humana, animal o ambiental</w:t>
      </w:r>
      <w:r>
        <w:t xml:space="preserve"> </w:t>
      </w:r>
      <w:r>
        <w:t xml:space="preserve">- Productos con reclamaciones que ameriten retiro</w:t>
      </w:r>
      <w:r>
        <w:t xml:space="preserve"> </w:t>
      </w:r>
      <w:r>
        <w:t xml:space="preserve">- Productos vencidos o en mal estado de conservación</w:t>
      </w:r>
      <w:r>
        <w:t xml:space="preserve"> </w:t>
      </w:r>
      <w:r>
        <w:t xml:space="preserve">- Retiros ordenados por autoridad sanitaria (ICA)</w:t>
      </w:r>
    </w:p>
    <w:bookmarkEnd w:id="22"/>
    <w:bookmarkStart w:id="23" w:name="definiciones"/>
    <w:p>
      <w:pPr>
        <w:pStyle w:val="Heading2"/>
      </w:pPr>
      <w:r>
        <w:t xml:space="preserve">3. DEFINICIONES</w:t>
      </w:r>
    </w:p>
    <w:p>
      <w:pPr>
        <w:pStyle w:val="FirstParagraph"/>
      </w:pPr>
      <w:r>
        <w:rPr>
          <w:b/>
          <w:bCs/>
        </w:rPr>
        <w:t xml:space="preserve">Retiro de Producto (Recall):</w:t>
      </w:r>
      <w:r>
        <w:t xml:space="preserve"> </w:t>
      </w:r>
      <w:r>
        <w:t xml:space="preserve">Acción de remover un producto del mercado cuando se ha determinado que representa un riesgo o no cumple con especificaciones.</w:t>
      </w:r>
    </w:p>
    <w:p>
      <w:pPr>
        <w:pStyle w:val="BodyText"/>
      </w:pPr>
      <w:r>
        <w:rPr>
          <w:b/>
          <w:bCs/>
        </w:rPr>
        <w:t xml:space="preserve">Retiro Voluntario:</w:t>
      </w:r>
      <w:r>
        <w:t xml:space="preserve"> </w:t>
      </w:r>
      <w:r>
        <w:t xml:space="preserve">Iniciado por la empresa al detectar desviación de calidad.</w:t>
      </w:r>
    </w:p>
    <w:p>
      <w:pPr>
        <w:pStyle w:val="BodyText"/>
      </w:pPr>
      <w:r>
        <w:rPr>
          <w:b/>
          <w:bCs/>
        </w:rPr>
        <w:t xml:space="preserve">Retiro Obligatorio:</w:t>
      </w:r>
      <w:r>
        <w:t xml:space="preserve"> </w:t>
      </w:r>
      <w:r>
        <w:t xml:space="preserve">Ordenado por autoridad competente (ICA).</w:t>
      </w:r>
    </w:p>
    <w:p>
      <w:pPr>
        <w:pStyle w:val="BodyText"/>
      </w:pPr>
      <w:r>
        <w:rPr>
          <w:b/>
          <w:bCs/>
        </w:rPr>
        <w:t xml:space="preserve">Nivel de Riesgo: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Clase I (Alto):</w:t>
      </w:r>
      <w:r>
        <w:t xml:space="preserve"> </w:t>
      </w:r>
      <w:r>
        <w:t xml:space="preserve">Riesgo para la salud o seguridad - retiro inmediato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Clase II (Medio):</w:t>
      </w:r>
      <w:r>
        <w:t xml:space="preserve"> </w:t>
      </w:r>
      <w:r>
        <w:t xml:space="preserve">Incumplimiento de calidad sin riesgo inmediato - retio programado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Clase III (Bajo):</w:t>
      </w:r>
      <w:r>
        <w:t xml:space="preserve"> </w:t>
      </w:r>
      <w:r>
        <w:t xml:space="preserve">Errores menores (etiqueta, empaque) - retiro selectivo</w:t>
      </w:r>
    </w:p>
    <w:p>
      <w:pPr>
        <w:pStyle w:val="BodyText"/>
      </w:pPr>
      <w:r>
        <w:rPr>
          <w:b/>
          <w:bCs/>
        </w:rPr>
        <w:t xml:space="preserve">Efectividad del Retiro:</w:t>
      </w:r>
      <w:r>
        <w:t xml:space="preserve"> </w:t>
      </w:r>
      <w:r>
        <w:t xml:space="preserve">Porcentaje del producto retirado vs. cantidad distribuida.</w:t>
      </w:r>
    </w:p>
    <w:bookmarkEnd w:id="23"/>
    <w:bookmarkStart w:id="24" w:name="responsabilidades"/>
    <w:p>
      <w:pPr>
        <w:pStyle w:val="Heading2"/>
      </w:pPr>
      <w:r>
        <w:t xml:space="preserve">4.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6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Dirección/Propietario</w:t>
            </w:r>
          </w:p>
        </w:tc>
        <w:tc>
          <w:tcPr/>
          <w:p>
            <w:pPr>
              <w:pStyle w:val="Compact"/>
            </w:pPr>
            <w:r>
              <w:t xml:space="preserve">Decisión de iniciar retiro, designar equipo de crisis, comunicación con 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Regente/Responsable Calidad</w:t>
            </w:r>
          </w:p>
        </w:tc>
        <w:tc>
          <w:tcPr/>
          <w:p>
            <w:pPr>
              <w:pStyle w:val="Compact"/>
            </w:pPr>
            <w:r>
              <w:t xml:space="preserve">Evaluación del riesgo, coordinación del retiro, investigación de causa raíz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Jefe de Ventas</w:t>
            </w:r>
          </w:p>
        </w:tc>
        <w:tc>
          <w:tcPr/>
          <w:p>
            <w:pPr>
              <w:pStyle w:val="Compact"/>
            </w:pPr>
            <w:r>
              <w:t xml:space="preserve">Identificación de clientes, notificación, logística de retiro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Jefe de Almacén</w:t>
            </w:r>
          </w:p>
        </w:tc>
        <w:tc>
          <w:tcPr/>
          <w:p>
            <w:pPr>
              <w:pStyle w:val="Compact"/>
            </w:pPr>
            <w:r>
              <w:t xml:space="preserve">Bloqueo de inventario, recepción de producto retirado, segregación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Jefe de Producción</w:t>
            </w:r>
          </w:p>
        </w:tc>
        <w:tc>
          <w:tcPr/>
          <w:p>
            <w:pPr>
              <w:pStyle w:val="Compact"/>
            </w:pPr>
            <w:r>
              <w:t xml:space="preserve">Investigación en proceso, identificación de otros lotes potencialmente afectados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Asesor Técnico</w:t>
            </w:r>
          </w:p>
        </w:tc>
        <w:tc>
          <w:tcPr/>
          <w:p>
            <w:pPr>
              <w:pStyle w:val="Compact"/>
            </w:pPr>
            <w:r>
              <w:t xml:space="preserve">Evaluación técnica del riesgo, soporte en decisión de retiro</w:t>
            </w:r>
          </w:p>
        </w:tc>
      </w:tr>
    </w:tbl>
    <w:bookmarkEnd w:id="24"/>
    <w:bookmarkStart w:id="28" w:name="criterios-para-iniciar-retiro"/>
    <w:p>
      <w:pPr>
        <w:pStyle w:val="Heading2"/>
      </w:pPr>
      <w:r>
        <w:t xml:space="preserve">5. CRITERIOS PARA INICIAR RETIRO</w:t>
      </w:r>
    </w:p>
    <w:p>
      <w:pPr>
        <w:pStyle w:val="FirstParagraph"/>
      </w:pPr>
      <w:r>
        <w:t xml:space="preserve">Se debe evaluar iniciar un retiro cuando:</w:t>
      </w:r>
    </w:p>
    <w:bookmarkStart w:id="25" w:name="riesgo-para-el-usuario-clase-i---urgente"/>
    <w:p>
      <w:pPr>
        <w:pStyle w:val="Heading3"/>
      </w:pPr>
      <w:r>
        <w:t xml:space="preserve">5.1 Riesgo para el Usuario (Clase I - URGENTE)</w:t>
      </w:r>
    </w:p>
    <w:p>
      <w:pPr>
        <w:pStyle w:val="Compact"/>
        <w:numPr>
          <w:ilvl w:val="0"/>
          <w:numId w:val="1001"/>
        </w:numPr>
      </w:pPr>
      <w:r>
        <w:t xml:space="preserve">Contaminación microbiológica</w:t>
      </w:r>
    </w:p>
    <w:p>
      <w:pPr>
        <w:pStyle w:val="Compact"/>
        <w:numPr>
          <w:ilvl w:val="0"/>
          <w:numId w:val="1001"/>
        </w:numPr>
      </w:pPr>
      <w:r>
        <w:t xml:space="preserve">Presencia de sustancias tóxicas sobre límites permitidos</w:t>
      </w:r>
    </w:p>
    <w:p>
      <w:pPr>
        <w:pStyle w:val="Compact"/>
        <w:numPr>
          <w:ilvl w:val="0"/>
          <w:numId w:val="1001"/>
        </w:numPr>
      </w:pPr>
      <w:r>
        <w:t xml:space="preserve">Metales pesados fuera de especificación (As, Cd, Pb)</w:t>
      </w:r>
    </w:p>
    <w:p>
      <w:pPr>
        <w:pStyle w:val="Compact"/>
        <w:numPr>
          <w:ilvl w:val="0"/>
          <w:numId w:val="1001"/>
        </w:numPr>
      </w:pPr>
      <w:r>
        <w:t xml:space="preserve">Error en formulación que cause fitotoxicidad</w:t>
      </w:r>
    </w:p>
    <w:bookmarkEnd w:id="25"/>
    <w:bookmarkStart w:id="26" w:name="X78e29204cd978e308909cc9cbb80a05faf2611e"/>
    <w:p>
      <w:pPr>
        <w:pStyle w:val="Heading3"/>
      </w:pPr>
      <w:r>
        <w:t xml:space="preserve">5.2 Incumplimiento de Especificaciones (Clase II)</w:t>
      </w:r>
    </w:p>
    <w:p>
      <w:pPr>
        <w:pStyle w:val="Compact"/>
        <w:numPr>
          <w:ilvl w:val="0"/>
          <w:numId w:val="1002"/>
        </w:numPr>
      </w:pPr>
      <w:r>
        <w:t xml:space="preserve">Contenido de nutrientes fuera de tolerancia (&gt;5% desviación)</w:t>
      </w:r>
    </w:p>
    <w:p>
      <w:pPr>
        <w:pStyle w:val="Compact"/>
        <w:numPr>
          <w:ilvl w:val="0"/>
          <w:numId w:val="1002"/>
        </w:numPr>
      </w:pPr>
      <w:r>
        <w:t xml:space="preserve">Humedad excesiva que afecte estabilidad</w:t>
      </w:r>
    </w:p>
    <w:p>
      <w:pPr>
        <w:pStyle w:val="Compact"/>
        <w:numPr>
          <w:ilvl w:val="0"/>
          <w:numId w:val="1002"/>
        </w:numPr>
      </w:pPr>
      <w:r>
        <w:t xml:space="preserve">Granulometría no conforme que afecte aplicación</w:t>
      </w:r>
    </w:p>
    <w:p>
      <w:pPr>
        <w:pStyle w:val="Compact"/>
        <w:numPr>
          <w:ilvl w:val="0"/>
          <w:numId w:val="1002"/>
        </w:numPr>
      </w:pPr>
      <w:r>
        <w:t xml:space="preserve">Problemas de solubilidad en productos fertirrigación</w:t>
      </w:r>
    </w:p>
    <w:bookmarkEnd w:id="26"/>
    <w:bookmarkStart w:id="27" w:name="problemas-administrativos-clase-iii"/>
    <w:p>
      <w:pPr>
        <w:pStyle w:val="Heading3"/>
      </w:pPr>
      <w:r>
        <w:t xml:space="preserve">5.3 Problemas Administrativos (Clase III)</w:t>
      </w:r>
    </w:p>
    <w:p>
      <w:pPr>
        <w:pStyle w:val="Compact"/>
        <w:numPr>
          <w:ilvl w:val="0"/>
          <w:numId w:val="1003"/>
        </w:numPr>
      </w:pPr>
      <w:r>
        <w:t xml:space="preserve">Etiqueta incorrecta (contenido, instrucciones)</w:t>
      </w:r>
    </w:p>
    <w:p>
      <w:pPr>
        <w:pStyle w:val="Compact"/>
        <w:numPr>
          <w:ilvl w:val="0"/>
          <w:numId w:val="1003"/>
        </w:numPr>
      </w:pPr>
      <w:r>
        <w:t xml:space="preserve">Fecha de vencimiento errónea</w:t>
      </w:r>
    </w:p>
    <w:p>
      <w:pPr>
        <w:pStyle w:val="Compact"/>
        <w:numPr>
          <w:ilvl w:val="0"/>
          <w:numId w:val="1003"/>
        </w:numPr>
      </w:pPr>
      <w:r>
        <w:t xml:space="preserve">Errores en número de lote</w:t>
      </w:r>
    </w:p>
    <w:bookmarkEnd w:id="27"/>
    <w:bookmarkEnd w:id="28"/>
    <w:bookmarkStart w:id="55" w:name="desarrollo-del-procedimiento"/>
    <w:p>
      <w:pPr>
        <w:pStyle w:val="Heading2"/>
      </w:pPr>
      <w:r>
        <w:t xml:space="preserve">6. DESARROLLO DEL PROCEDIMIENTO</w:t>
      </w:r>
    </w:p>
    <w:bookmarkStart w:id="33" w:name="X88dec774da3b503f7b260ec96739c9822825760"/>
    <w:p>
      <w:pPr>
        <w:pStyle w:val="Heading3"/>
      </w:pPr>
      <w:r>
        <w:t xml:space="preserve">FASE 1: DETECCIÓN Y EVALUACIÓN (Máximo 2 horas)</w:t>
      </w:r>
    </w:p>
    <w:bookmarkStart w:id="29" w:name="recepción-de-la-alerta"/>
    <w:p>
      <w:pPr>
        <w:pStyle w:val="Heading4"/>
      </w:pPr>
      <w:r>
        <w:t xml:space="preserve">6.1.1 Recepción de la Alerta</w:t>
      </w:r>
    </w:p>
    <w:p>
      <w:pPr>
        <w:pStyle w:val="FirstParagraph"/>
      </w:pPr>
      <w:r>
        <w:t xml:space="preserve">La alerta puede provenir de:</w:t>
      </w:r>
      <w:r>
        <w:t xml:space="preserve"> </w:t>
      </w:r>
      <w:r>
        <w:t xml:space="preserve">- Laboratorio interno (análisis de contramuestra)</w:t>
      </w:r>
      <w:r>
        <w:t xml:space="preserve"> </w:t>
      </w:r>
      <w:r>
        <w:t xml:space="preserve">- Cliente (reclamación)</w:t>
      </w:r>
      <w:r>
        <w:t xml:space="preserve"> </w:t>
      </w:r>
      <w:r>
        <w:t xml:space="preserve">- Autoridad sanitaria (ICA)</w:t>
      </w:r>
      <w:r>
        <w:t xml:space="preserve"> </w:t>
      </w:r>
      <w:r>
        <w:t xml:space="preserve">- Laboratorio externo</w:t>
      </w:r>
      <w:r>
        <w:t xml:space="preserve"> </w:t>
      </w:r>
      <w:r>
        <w:t xml:space="preserve">- Auditoría interna</w:t>
      </w:r>
    </w:p>
    <w:bookmarkEnd w:id="29"/>
    <w:bookmarkStart w:id="30" w:name="registro-inicial"/>
    <w:p>
      <w:pPr>
        <w:pStyle w:val="Heading4"/>
      </w:pPr>
      <w:r>
        <w:t xml:space="preserve">6.1.2 Registro Inicial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RC-SI58 Alerta de Calidad</w:t>
      </w:r>
      <w:r>
        <w:t xml:space="preserve">, registrar:</w:t>
      </w:r>
      <w:r>
        <w:t xml:space="preserve"> </w:t>
      </w:r>
      <w:r>
        <w:t xml:space="preserve">- Fecha y hora de recepción de alerta</w:t>
      </w:r>
      <w:r>
        <w:t xml:space="preserve"> </w:t>
      </w:r>
      <w:r>
        <w:t xml:space="preserve">- Fuente de la alerta</w:t>
      </w:r>
      <w:r>
        <w:t xml:space="preserve"> </w:t>
      </w:r>
      <w:r>
        <w:t xml:space="preserve">- Descripción del problema</w:t>
      </w:r>
      <w:r>
        <w:t xml:space="preserve"> </w:t>
      </w:r>
      <w:r>
        <w:t xml:space="preserve">- Lote(s) potencialmente afectado(s)</w:t>
      </w:r>
      <w:r>
        <w:t xml:space="preserve"> </w:t>
      </w:r>
      <w:r>
        <w:t xml:space="preserve">- Cantidad estimada</w:t>
      </w:r>
    </w:p>
    <w:bookmarkEnd w:id="30"/>
    <w:bookmarkStart w:id="31" w:name="evaluación-del-riesgo-equipo-de-crisis"/>
    <w:p>
      <w:pPr>
        <w:pStyle w:val="Heading4"/>
      </w:pPr>
      <w:r>
        <w:t xml:space="preserve">6.1.3 Evaluación del Riesgo (Equipo de Crisis)</w:t>
      </w:r>
    </w:p>
    <w:p>
      <w:pPr>
        <w:pStyle w:val="FirstParagraph"/>
      </w:pPr>
      <w:r>
        <w:t xml:space="preserve">El Regente/Responsable de Calidad convoca reunión inmediata con:</w:t>
      </w:r>
      <w:r>
        <w:t xml:space="preserve"> </w:t>
      </w:r>
      <w:r>
        <w:t xml:space="preserve">- Dirección</w:t>
      </w:r>
      <w:r>
        <w:t xml:space="preserve"> </w:t>
      </w:r>
      <w:r>
        <w:t xml:space="preserve">- Calidad</w:t>
      </w:r>
      <w:r>
        <w:t xml:space="preserve"> </w:t>
      </w:r>
      <w:r>
        <w:t xml:space="preserve">- Producción</w:t>
      </w:r>
      <w:r>
        <w:t xml:space="preserve"> </w:t>
      </w:r>
      <w:r>
        <w:t xml:space="preserve">- Ventas</w:t>
      </w:r>
    </w:p>
    <w:p>
      <w:pPr>
        <w:pStyle w:val="BodyText"/>
      </w:pPr>
      <w:r>
        <w:t xml:space="preserve">Evaluar según matriz de riesgo: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Gravedad del problema</w:t>
            </w:r>
          </w:p>
        </w:tc>
        <w:tc>
          <w:tcPr/>
          <w:p>
            <w:pPr>
              <w:pStyle w:val="Compact"/>
            </w:pPr>
            <w:r>
              <w:t xml:space="preserve">Alto/Medio/Bajo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 distribuida</w:t>
            </w:r>
          </w:p>
        </w:tc>
        <w:tc>
          <w:tcPr/>
          <w:p>
            <w:pPr>
              <w:pStyle w:val="Compact"/>
            </w:pPr>
            <w:r>
              <w:t xml:space="preserve">&gt;1000 sacos / 100-1000 / &lt;100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en el mercado</w:t>
            </w:r>
          </w:p>
        </w:tc>
        <w:tc>
          <w:tcPr/>
          <w:p>
            <w:pPr>
              <w:pStyle w:val="Compact"/>
            </w:pPr>
            <w:r>
              <w:t xml:space="preserve">&gt;6 meses / 1-6 meses / &lt;1 mes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Riesgo para usuario</w:t>
            </w:r>
          </w:p>
        </w:tc>
        <w:tc>
          <w:tcPr/>
          <w:p>
            <w:pPr>
              <w:pStyle w:val="Compact"/>
            </w:pPr>
            <w:r>
              <w:t xml:space="preserve">Inmediato / Potencial / Nulo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Retiro Clase I / II / III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31"/>
    <w:bookmarkStart w:id="32" w:name="decisión"/>
    <w:p>
      <w:pPr>
        <w:pStyle w:val="Heading4"/>
      </w:pPr>
      <w:r>
        <w:t xml:space="preserve">6.1.4 Decisión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 Clase I (Alto):</w:t>
      </w:r>
      <w:r>
        <w:t xml:space="preserve"> </w:t>
      </w:r>
      <w:r>
        <w:t xml:space="preserve">Proceder a Fase 2 inmediatamente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 Clase II (Medio):</w:t>
      </w:r>
      <w:r>
        <w:t xml:space="preserve"> </w:t>
      </w:r>
      <w:r>
        <w:t xml:space="preserve">Proceder a Fase 2 dentro de 24 horas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 Clase III (Bajo):</w:t>
      </w:r>
      <w:r>
        <w:t xml:space="preserve"> </w:t>
      </w:r>
      <w:r>
        <w:t xml:space="preserve">Proceder a Fase 2 dentro de 48 horas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 No procede:</w:t>
      </w:r>
      <w:r>
        <w:t xml:space="preserve"> </w:t>
      </w:r>
      <w:r>
        <w:t xml:space="preserve">Documentar decisión y medidas correctoras</w:t>
      </w:r>
    </w:p>
    <w:bookmarkEnd w:id="32"/>
    <w:bookmarkEnd w:id="33"/>
    <w:bookmarkStart w:id="38" w:name="X9b86d55db4936adec786dc5e098190ae1d52534"/>
    <w:p>
      <w:pPr>
        <w:pStyle w:val="Heading3"/>
      </w:pPr>
      <w:r>
        <w:t xml:space="preserve">FASE 2: IDENTIFICACIÓN Y CUANTIFICACIÓN (Máximo 4 horas)</w:t>
      </w:r>
    </w:p>
    <w:bookmarkStart w:id="34" w:name="identificación-de-lotes-afectados"/>
    <w:p>
      <w:pPr>
        <w:pStyle w:val="Heading4"/>
      </w:pPr>
      <w:r>
        <w:t xml:space="preserve">6.2.1 Identificación de Lotes Afectados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b/>
          <w:bCs/>
        </w:rPr>
        <w:t xml:space="preserve">Procedimiento de Trazabilidad (POE 3.13)</w:t>
      </w:r>
      <w:r>
        <w:t xml:space="preserve">:</w:t>
      </w:r>
      <w:r>
        <w:t xml:space="preserve"> </w:t>
      </w:r>
      <w:r>
        <w:t xml:space="preserve">- Identificar todos los lotes afectados</w:t>
      </w:r>
      <w:r>
        <w:t xml:space="preserve"> </w:t>
      </w:r>
      <w:r>
        <w:t xml:space="preserve">- Determinar cantidad producida por lote</w:t>
      </w:r>
      <w:r>
        <w:t xml:space="preserve"> </w:t>
      </w:r>
      <w:r>
        <w:t xml:space="preserve">- Identificar fechas de fabricación</w:t>
      </w:r>
      <w:r>
        <w:t xml:space="preserve"> </w:t>
      </w:r>
      <w:r>
        <w:t xml:space="preserve">- Identificar MP utilizadas (en caso de contaminación de MP)</w:t>
      </w:r>
    </w:p>
    <w:bookmarkEnd w:id="34"/>
    <w:bookmarkStart w:id="35" w:name="identificación-de-distribución"/>
    <w:p>
      <w:pPr>
        <w:pStyle w:val="Heading4"/>
      </w:pPr>
      <w:r>
        <w:t xml:space="preserve">6.2.2 Identificación de Distribución</w:t>
      </w:r>
    </w:p>
    <w:p>
      <w:pPr>
        <w:pStyle w:val="FirstParagraph"/>
      </w:pPr>
      <w:r>
        <w:t xml:space="preserve">Consultar registros de ventas:</w:t>
      </w:r>
      <w:r>
        <w:t xml:space="preserve"> </w:t>
      </w:r>
      <w:r>
        <w:t xml:space="preserve">- Clientes que recibieron cada lote</w:t>
      </w:r>
      <w:r>
        <w:t xml:space="preserve"> </w:t>
      </w:r>
      <w:r>
        <w:t xml:space="preserve">- Cantidades entregadas por cliente</w:t>
      </w:r>
      <w:r>
        <w:t xml:space="preserve"> </w:t>
      </w:r>
      <w:r>
        <w:t xml:space="preserve">- Fechas de entrega</w:t>
      </w:r>
      <w:r>
        <w:t xml:space="preserve"> </w:t>
      </w:r>
      <w:r>
        <w:t xml:space="preserve">- Documentos de transporte</w:t>
      </w:r>
    </w:p>
    <w:bookmarkEnd w:id="35"/>
    <w:bookmarkStart w:id="36" w:name="inventario-en-almacén"/>
    <w:p>
      <w:pPr>
        <w:pStyle w:val="Heading4"/>
      </w:pPr>
      <w:r>
        <w:t xml:space="preserve">6.2.3 Inventario en Almacén</w:t>
      </w:r>
    </w:p>
    <w:p>
      <w:pPr>
        <w:pStyle w:val="Compact"/>
        <w:numPr>
          <w:ilvl w:val="0"/>
          <w:numId w:val="1005"/>
        </w:numPr>
      </w:pPr>
      <w:r>
        <w:t xml:space="preserve">Cantidad en almacén propio (bloquear inmediatamente)</w:t>
      </w:r>
    </w:p>
    <w:p>
      <w:pPr>
        <w:pStyle w:val="Compact"/>
        <w:numPr>
          <w:ilvl w:val="0"/>
          <w:numId w:val="1005"/>
        </w:numPr>
      </w:pPr>
      <w:r>
        <w:t xml:space="preserve">Cantidad en bodegas de terceros</w:t>
      </w:r>
    </w:p>
    <w:p>
      <w:pPr>
        <w:pStyle w:val="Compact"/>
        <w:numPr>
          <w:ilvl w:val="0"/>
          <w:numId w:val="1005"/>
        </w:numPr>
      </w:pPr>
      <w:r>
        <w:t xml:space="preserve">Cantidad en tránsito</w:t>
      </w:r>
    </w:p>
    <w:bookmarkEnd w:id="36"/>
    <w:bookmarkStart w:id="37" w:name="reporte-de-distribución"/>
    <w:p>
      <w:pPr>
        <w:pStyle w:val="Heading4"/>
      </w:pPr>
      <w:r>
        <w:t xml:space="preserve">6.2.4 Reporte de Distribución</w:t>
      </w:r>
    </w:p>
    <w:p>
      <w:pPr>
        <w:pStyle w:val="FirstParagraph"/>
      </w:pPr>
      <w:r>
        <w:t xml:space="preserve">Elaborar</w:t>
      </w:r>
      <w:r>
        <w:t xml:space="preserve"> </w:t>
      </w:r>
      <w:r>
        <w:rPr>
          <w:b/>
          <w:bCs/>
        </w:rPr>
        <w:t xml:space="preserve">RC-SI59 Reporte de Distribución del Producto</w:t>
      </w:r>
      <w:r>
        <w:t xml:space="preserve"> </w:t>
      </w:r>
      <w:r>
        <w:t xml:space="preserve">con:</w:t>
      </w:r>
      <w:r>
        <w:t xml:space="preserve"> </w:t>
      </w:r>
      <w:r>
        <w:t xml:space="preserve">| Lote | Cantidad Producida | Cantidad en Almacén | Cantidad Distribuida | Clientes |</w:t>
      </w:r>
      <w:r>
        <w:t xml:space="preserve"> </w:t>
      </w:r>
      <w:r>
        <w:t xml:space="preserve">|——|——————-|———————|———————|———-|</w:t>
      </w:r>
      <w:r>
        <w:t xml:space="preserve"> </w:t>
      </w:r>
      <w:r>
        <w:t xml:space="preserve">| | | | | |</w:t>
      </w:r>
    </w:p>
    <w:bookmarkEnd w:id="37"/>
    <w:bookmarkEnd w:id="38"/>
    <w:bookmarkStart w:id="42" w:name="Xa08527340c10a38f44785f1fcd5000a33751eb5"/>
    <w:p>
      <w:pPr>
        <w:pStyle w:val="Heading3"/>
      </w:pPr>
      <w:r>
        <w:t xml:space="preserve">FASE 3: NOTIFICACIÓN (Inmediata para Clase I)</w:t>
      </w:r>
    </w:p>
    <w:bookmarkStart w:id="39" w:name="notificación-a-la-autoridad-ica"/>
    <w:p>
      <w:pPr>
        <w:pStyle w:val="Heading4"/>
      </w:pPr>
      <w:r>
        <w:t xml:space="preserve">6.3.1 Notificación a la Autoridad (ICA)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/>
          <w:bCs/>
        </w:rPr>
        <w:t xml:space="preserve">todos los retiros Clase I y II</w:t>
      </w:r>
      <w:r>
        <w:t xml:space="preserve">:</w:t>
      </w:r>
      <w:r>
        <w:t xml:space="preserve"> </w:t>
      </w:r>
      <w:r>
        <w:t xml:space="preserve">- Notificar al ICA dentro de las primeras 24 horas de la decisión</w:t>
      </w:r>
      <w:r>
        <w:t xml:space="preserve"> </w:t>
      </w:r>
      <w:r>
        <w:t xml:space="preserve">- Enviar formato oficial de notificación</w:t>
      </w:r>
      <w:r>
        <w:t xml:space="preserve"> </w:t>
      </w:r>
      <w:r>
        <w:t xml:space="preserve">- Adjuntar evidencia del problema</w:t>
      </w:r>
      <w:r>
        <w:t xml:space="preserve"> </w:t>
      </w:r>
      <w:r>
        <w:t xml:space="preserve">- Presentar plan de acción de retiro</w:t>
      </w:r>
    </w:p>
    <w:bookmarkEnd w:id="39"/>
    <w:bookmarkStart w:id="40" w:name="notificación-a-clientes"/>
    <w:p>
      <w:pPr>
        <w:pStyle w:val="Heading4"/>
      </w:pPr>
      <w:r>
        <w:t xml:space="preserve">6.3.2 Notificación a Clientes</w:t>
      </w:r>
    </w:p>
    <w:p>
      <w:pPr>
        <w:pStyle w:val="FirstParagraph"/>
      </w:pPr>
      <w:r>
        <w:rPr>
          <w:b/>
          <w:bCs/>
        </w:rPr>
        <w:t xml:space="preserve">Para Clase I:</w:t>
      </w:r>
      <w:r>
        <w:t xml:space="preserve"> </w:t>
      </w:r>
      <w:r>
        <w:t xml:space="preserve">- Llamada telefónica inmediata</w:t>
      </w:r>
      <w:r>
        <w:t xml:space="preserve"> </w:t>
      </w:r>
      <w:r>
        <w:t xml:space="preserve">- Correo electrónico con acuse de recibo</w:t>
      </w:r>
      <w:r>
        <w:t xml:space="preserve"> </w:t>
      </w:r>
      <w:r>
        <w:t xml:space="preserve">- Mensaje de texto/WhatsApp como respaldo</w:t>
      </w:r>
      <w:r>
        <w:t xml:space="preserve"> </w:t>
      </w:r>
      <w:r>
        <w:t xml:space="preserve">- Notificar en máximo 4 horas</w:t>
      </w:r>
    </w:p>
    <w:p>
      <w:pPr>
        <w:pStyle w:val="BodyText"/>
      </w:pPr>
      <w:r>
        <w:rPr>
          <w:b/>
          <w:bCs/>
        </w:rPr>
        <w:t xml:space="preserve">Para Clase II:</w:t>
      </w:r>
      <w:r>
        <w:t xml:space="preserve"> </w:t>
      </w:r>
      <w:r>
        <w:t xml:space="preserve">- Correo electrónico con acuse de recibo</w:t>
      </w:r>
      <w:r>
        <w:t xml:space="preserve"> </w:t>
      </w:r>
      <w:r>
        <w:t xml:space="preserve">- Llamada telefónica de seguimiento</w:t>
      </w:r>
      <w:r>
        <w:t xml:space="preserve"> </w:t>
      </w:r>
      <w:r>
        <w:t xml:space="preserve">- Notificar en máximo 24 horas</w:t>
      </w:r>
    </w:p>
    <w:p>
      <w:pPr>
        <w:pStyle w:val="BodyText"/>
      </w:pPr>
      <w:r>
        <w:rPr>
          <w:b/>
          <w:bCs/>
        </w:rPr>
        <w:t xml:space="preserve">Para Clase III:</w:t>
      </w:r>
      <w:r>
        <w:t xml:space="preserve"> </w:t>
      </w:r>
      <w:r>
        <w:t xml:space="preserve">- Correo electrónico</w:t>
      </w:r>
      <w:r>
        <w:t xml:space="preserve"> </w:t>
      </w:r>
      <w:r>
        <w:t xml:space="preserve">- Notificar en máximo 48 horas</w:t>
      </w:r>
    </w:p>
    <w:p>
      <w:pPr>
        <w:pStyle w:val="BodyText"/>
      </w:pPr>
      <w:r>
        <w:rPr>
          <w:b/>
          <w:bCs/>
        </w:rPr>
        <w:t xml:space="preserve">Contenido de la notificación:</w:t>
      </w:r>
      <w:r>
        <w:t xml:space="preserve"> </w:t>
      </w:r>
      <w:r>
        <w:t xml:space="preserve">- Nombre del producto</w:t>
      </w:r>
      <w:r>
        <w:t xml:space="preserve"> </w:t>
      </w:r>
      <w:r>
        <w:t xml:space="preserve">- Número(s) de lote(s) afectado(s)</w:t>
      </w:r>
      <w:r>
        <w:t xml:space="preserve"> </w:t>
      </w:r>
      <w:r>
        <w:t xml:space="preserve">- Motivo del retiro</w:t>
      </w:r>
      <w:r>
        <w:t xml:space="preserve"> </w:t>
      </w:r>
      <w:r>
        <w:t xml:space="preserve">- Riesgo asociado</w:t>
      </w:r>
      <w:r>
        <w:t xml:space="preserve"> </w:t>
      </w:r>
      <w:r>
        <w:t xml:space="preserve">- Instrucciones (detener uso, almacenar aislado)</w:t>
      </w:r>
      <w:r>
        <w:t xml:space="preserve"> </w:t>
      </w:r>
      <w:r>
        <w:t xml:space="preserve">- Contacto para coordinar devolución</w:t>
      </w:r>
      <w:r>
        <w:t xml:space="preserve"> </w:t>
      </w:r>
      <w:r>
        <w:t xml:space="preserve">- Disculpas y compromiso de solución</w:t>
      </w:r>
    </w:p>
    <w:bookmarkEnd w:id="40"/>
    <w:bookmarkStart w:id="41" w:name="notificación-interna"/>
    <w:p>
      <w:pPr>
        <w:pStyle w:val="Heading4"/>
      </w:pPr>
      <w:r>
        <w:t xml:space="preserve">6.3.3 Notificación Interna</w:t>
      </w:r>
    </w:p>
    <w:p>
      <w:pPr>
        <w:pStyle w:val="Compact"/>
        <w:numPr>
          <w:ilvl w:val="0"/>
          <w:numId w:val="1006"/>
        </w:numPr>
      </w:pPr>
      <w:r>
        <w:t xml:space="preserve">Todo el personal de la empresa</w:t>
      </w:r>
    </w:p>
    <w:p>
      <w:pPr>
        <w:pStyle w:val="Compact"/>
        <w:numPr>
          <w:ilvl w:val="0"/>
          <w:numId w:val="1006"/>
        </w:numPr>
      </w:pPr>
      <w:r>
        <w:t xml:space="preserve">Distribuidores externos (si aplica)</w:t>
      </w:r>
    </w:p>
    <w:p>
      <w:pPr>
        <w:pStyle w:val="Compact"/>
        <w:numPr>
          <w:ilvl w:val="0"/>
          <w:numId w:val="1006"/>
        </w:numPr>
      </w:pPr>
      <w:r>
        <w:t xml:space="preserve">Medios de comunicación (solo si es requerido o el problema es de dominio público)</w:t>
      </w:r>
    </w:p>
    <w:bookmarkEnd w:id="41"/>
    <w:bookmarkEnd w:id="42"/>
    <w:bookmarkStart w:id="46" w:name="fase-4-logística-de-retiro"/>
    <w:p>
      <w:pPr>
        <w:pStyle w:val="Heading3"/>
      </w:pPr>
      <w:r>
        <w:t xml:space="preserve">FASE 4: LOGÍSTICA DE RETIRO</w:t>
      </w:r>
    </w:p>
    <w:bookmarkStart w:id="43" w:name="coordinación-de-recolección"/>
    <w:p>
      <w:pPr>
        <w:pStyle w:val="Heading4"/>
      </w:pPr>
      <w:r>
        <w:t xml:space="preserve">6.4.1 Coordinación de Recolección</w:t>
      </w:r>
    </w:p>
    <w:p>
      <w:pPr>
        <w:pStyle w:val="Compact"/>
        <w:numPr>
          <w:ilvl w:val="0"/>
          <w:numId w:val="1007"/>
        </w:numPr>
      </w:pPr>
      <w:r>
        <w:t xml:space="preserve">Ofrecer recolección en domicilio del cliente</w:t>
      </w:r>
    </w:p>
    <w:p>
      <w:pPr>
        <w:pStyle w:val="Compact"/>
        <w:numPr>
          <w:ilvl w:val="0"/>
          <w:numId w:val="1007"/>
        </w:numPr>
      </w:pPr>
      <w:r>
        <w:t xml:space="preserve">Definir fechas y horarios</w:t>
      </w:r>
    </w:p>
    <w:p>
      <w:pPr>
        <w:pStyle w:val="Compact"/>
        <w:numPr>
          <w:ilvl w:val="0"/>
          <w:numId w:val="1007"/>
        </w:numPr>
      </w:pPr>
      <w:r>
        <w:t xml:space="preserve">Asignar transporte dedicado o contratado</w:t>
      </w:r>
    </w:p>
    <w:p>
      <w:pPr>
        <w:pStyle w:val="Compact"/>
        <w:numPr>
          <w:ilvl w:val="0"/>
          <w:numId w:val="1007"/>
        </w:numPr>
      </w:pPr>
      <w:r>
        <w:t xml:space="preserve">Preparar documentación de recolección</w:t>
      </w:r>
    </w:p>
    <w:bookmarkEnd w:id="43"/>
    <w:bookmarkStart w:id="44" w:name="recepción-del-producto-retirado"/>
    <w:p>
      <w:pPr>
        <w:pStyle w:val="Heading4"/>
      </w:pPr>
      <w:r>
        <w:t xml:space="preserve">6.4.2 Recepción del Producto Retirado</w:t>
      </w:r>
    </w:p>
    <w:p>
      <w:pPr>
        <w:pStyle w:val="FirstParagraph"/>
      </w:pPr>
      <w:r>
        <w:t xml:space="preserve">En almacén:</w:t>
      </w:r>
      <w:r>
        <w:t xml:space="preserve"> </w:t>
      </w:r>
      <w:r>
        <w:t xml:space="preserve">- Área segregada y claramente identificada</w:t>
      </w:r>
      <w:r>
        <w:t xml:space="preserve"> </w:t>
      </w:r>
      <w:r>
        <w:t xml:space="preserve">- Etiqueta:</w:t>
      </w:r>
      <w:r>
        <w:t xml:space="preserve"> </w:t>
      </w:r>
      <w:r>
        <w:t xml:space="preserve">“PRODUCTO EN RETIRO - NO LIBERAR”</w:t>
      </w:r>
      <w:r>
        <w:t xml:space="preserve"> </w:t>
      </w:r>
      <w:r>
        <w:t xml:space="preserve">- Registrar en</w:t>
      </w:r>
      <w:r>
        <w:t xml:space="preserve"> </w:t>
      </w:r>
      <w:r>
        <w:rPr>
          <w:b/>
          <w:bCs/>
        </w:rPr>
        <w:t xml:space="preserve">RC-SI60 Recepción de Producto Retirado</w:t>
      </w:r>
      <w:r>
        <w:t xml:space="preserve">:</w:t>
      </w:r>
      <w:r>
        <w:t xml:space="preserve"> </w:t>
      </w:r>
      <w:r>
        <w:t xml:space="preserve">- Fecha de recepción</w:t>
      </w:r>
      <w:r>
        <w:t xml:space="preserve"> </w:t>
      </w:r>
      <w:r>
        <w:t xml:space="preserve">- Cliente</w:t>
      </w:r>
      <w:r>
        <w:t xml:space="preserve"> </w:t>
      </w:r>
      <w:r>
        <w:t xml:space="preserve">- Producto y lote</w:t>
      </w:r>
      <w:r>
        <w:t xml:space="preserve"> </w:t>
      </w:r>
      <w:r>
        <w:t xml:space="preserve">- Cantidad retirada</w:t>
      </w:r>
      <w:r>
        <w:t xml:space="preserve"> </w:t>
      </w:r>
      <w:r>
        <w:t xml:space="preserve">- Estado físico</w:t>
      </w:r>
      <w:r>
        <w:t xml:space="preserve"> </w:t>
      </w:r>
      <w:r>
        <w:t xml:space="preserve">- Transportista</w:t>
      </w:r>
    </w:p>
    <w:bookmarkEnd w:id="44"/>
    <w:bookmarkStart w:id="45" w:name="inventario-del-producto-retirado"/>
    <w:p>
      <w:pPr>
        <w:pStyle w:val="Heading4"/>
      </w:pPr>
      <w:r>
        <w:t xml:space="preserve">6.4.3 Inventario del Producto Retirado</w:t>
      </w:r>
    </w:p>
    <w:p>
      <w:pPr>
        <w:pStyle w:val="Compact"/>
        <w:numPr>
          <w:ilvl w:val="0"/>
          <w:numId w:val="1008"/>
        </w:numPr>
      </w:pPr>
      <w:r>
        <w:t xml:space="preserve">Físicamente separado de producto conforme</w:t>
      </w:r>
    </w:p>
    <w:p>
      <w:pPr>
        <w:pStyle w:val="Compact"/>
        <w:numPr>
          <w:ilvl w:val="0"/>
          <w:numId w:val="1008"/>
        </w:numPr>
      </w:pPr>
      <w:r>
        <w:t xml:space="preserve">Identificación clara</w:t>
      </w:r>
    </w:p>
    <w:p>
      <w:pPr>
        <w:pStyle w:val="Compact"/>
        <w:numPr>
          <w:ilvl w:val="0"/>
          <w:numId w:val="1008"/>
        </w:numPr>
      </w:pPr>
      <w:r>
        <w:t xml:space="preserve">Acceso restringido</w:t>
      </w:r>
    </w:p>
    <w:p>
      <w:pPr>
        <w:pStyle w:val="Compact"/>
        <w:numPr>
          <w:ilvl w:val="0"/>
          <w:numId w:val="1008"/>
        </w:numPr>
      </w:pPr>
      <w:r>
        <w:t xml:space="preserve">Inventario actualizado diariamente</w:t>
      </w:r>
    </w:p>
    <w:bookmarkEnd w:id="45"/>
    <w:bookmarkEnd w:id="46"/>
    <w:bookmarkStart w:id="50" w:name="fase-5-disposición-del-producto"/>
    <w:p>
      <w:pPr>
        <w:pStyle w:val="Heading3"/>
      </w:pPr>
      <w:r>
        <w:t xml:space="preserve">FASE 5: DISPOSICIÓN DEL PRODUCTO</w:t>
      </w:r>
    </w:p>
    <w:bookmarkStart w:id="47" w:name="evaluación-de-opciones"/>
    <w:p>
      <w:pPr>
        <w:pStyle w:val="Heading4"/>
      </w:pPr>
      <w:r>
        <w:t xml:space="preserve">6.5.1 Evaluación de Opciones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210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Cuándo aplica</w:t>
            </w:r>
          </w:p>
        </w:tc>
        <w:tc>
          <w:tcPr/>
          <w:p>
            <w:pPr>
              <w:pStyle w:val="Compact"/>
            </w:pPr>
            <w:r>
              <w:t xml:space="preserve">Autorización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Reproceso</w:t>
            </w:r>
          </w:p>
        </w:tc>
        <w:tc>
          <w:tcPr/>
          <w:p>
            <w:pPr>
              <w:pStyle w:val="Compact"/>
            </w:pPr>
            <w:r>
              <w:t xml:space="preserve">Error corregible (mezcla, granulometría)</w:t>
            </w:r>
          </w:p>
        </w:tc>
        <w:tc>
          <w:tcPr/>
          <w:p>
            <w:pPr>
              <w:pStyle w:val="Compact"/>
            </w:pPr>
            <w:r>
              <w:t xml:space="preserve">Calidad + 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Reclasificación</w:t>
            </w:r>
          </w:p>
        </w:tc>
        <w:tc>
          <w:tcPr/>
          <w:p>
            <w:pPr>
              <w:pStyle w:val="Compact"/>
            </w:pPr>
            <w:r>
              <w:t xml:space="preserve">Producto usable para otro fin</w:t>
            </w:r>
          </w:p>
        </w:tc>
        <w:tc>
          <w:tcPr/>
          <w:p>
            <w:pPr>
              <w:pStyle w:val="Compact"/>
            </w:pPr>
            <w:r>
              <w:t xml:space="preserve">Calidad + 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Donación</w:t>
            </w:r>
          </w:p>
        </w:tc>
        <w:tc>
          <w:tcPr/>
          <w:p>
            <w:pPr>
              <w:pStyle w:val="Compact"/>
            </w:pPr>
            <w:r>
              <w:t xml:space="preserve">Producto seguro pero no comercializable</w:t>
            </w:r>
          </w:p>
        </w:tc>
        <w:tc>
          <w:tcPr/>
          <w:p>
            <w:pPr>
              <w:pStyle w:val="Compact"/>
            </w:pPr>
            <w:r>
              <w:t xml:space="preserve">Calidad + Dirección + Asesor Técnico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Destrucción</w:t>
            </w:r>
          </w:p>
        </w:tc>
        <w:tc>
          <w:tcPr/>
          <w:p>
            <w:pPr>
              <w:pStyle w:val="Compact"/>
            </w:pPr>
            <w:r>
              <w:t xml:space="preserve">Producto no recuperable</w:t>
            </w:r>
          </w:p>
        </w:tc>
        <w:tc>
          <w:tcPr/>
          <w:p>
            <w:pPr>
              <w:pStyle w:val="Compact"/>
            </w:pPr>
            <w:r>
              <w:t xml:space="preserve">Calidad + Dirección</w:t>
            </w:r>
          </w:p>
        </w:tc>
      </w:tr>
    </w:tbl>
    <w:bookmarkEnd w:id="47"/>
    <w:bookmarkStart w:id="48" w:name="reproceso-si-aplica"/>
    <w:p>
      <w:pPr>
        <w:pStyle w:val="Heading4"/>
      </w:pPr>
      <w:r>
        <w:t xml:space="preserve">6.5.2 Reproceso (si aplica)</w:t>
      </w:r>
    </w:p>
    <w:p>
      <w:pPr>
        <w:pStyle w:val="Compact"/>
        <w:numPr>
          <w:ilvl w:val="0"/>
          <w:numId w:val="1009"/>
        </w:numPr>
      </w:pPr>
      <w:r>
        <w:t xml:space="preserve">Definir proceso de corrección</w:t>
      </w:r>
    </w:p>
    <w:p>
      <w:pPr>
        <w:pStyle w:val="Compact"/>
        <w:numPr>
          <w:ilvl w:val="0"/>
          <w:numId w:val="1009"/>
        </w:numPr>
      </w:pPr>
      <w:r>
        <w:t xml:space="preserve">Establecer especificaciones de aceptación</w:t>
      </w:r>
    </w:p>
    <w:p>
      <w:pPr>
        <w:pStyle w:val="Compact"/>
        <w:numPr>
          <w:ilvl w:val="0"/>
          <w:numId w:val="1009"/>
        </w:numPr>
      </w:pPr>
      <w:r>
        <w:t xml:space="preserve">Analizar producto reprocesado antes de liberación</w:t>
      </w:r>
    </w:p>
    <w:p>
      <w:pPr>
        <w:pStyle w:val="Compact"/>
        <w:numPr>
          <w:ilvl w:val="0"/>
          <w:numId w:val="1009"/>
        </w:numPr>
      </w:pPr>
      <w:r>
        <w:t xml:space="preserve">Registrar como nuevo lote con trazabilidad al lote original</w:t>
      </w:r>
    </w:p>
    <w:bookmarkEnd w:id="48"/>
    <w:bookmarkStart w:id="49" w:name="destrucción-si-aplica"/>
    <w:p>
      <w:pPr>
        <w:pStyle w:val="Heading4"/>
      </w:pPr>
      <w:r>
        <w:t xml:space="preserve">6.5.3 Destrucción (si aplica)</w:t>
      </w:r>
    </w:p>
    <w:p>
      <w:pPr>
        <w:pStyle w:val="Compact"/>
        <w:numPr>
          <w:ilvl w:val="0"/>
          <w:numId w:val="1010"/>
        </w:numPr>
      </w:pPr>
      <w:r>
        <w:t xml:space="preserve">Método: Incineración, disposición en relleno sanitario autorizado, otro</w:t>
      </w:r>
    </w:p>
    <w:p>
      <w:pPr>
        <w:pStyle w:val="Compact"/>
        <w:numPr>
          <w:ilvl w:val="0"/>
          <w:numId w:val="1010"/>
        </w:numPr>
      </w:pPr>
      <w:r>
        <w:t xml:space="preserve">Contratista autorizado (si aplica)</w:t>
      </w:r>
    </w:p>
    <w:p>
      <w:pPr>
        <w:pStyle w:val="Compact"/>
        <w:numPr>
          <w:ilvl w:val="0"/>
          <w:numId w:val="1010"/>
        </w:numPr>
      </w:pPr>
      <w:r>
        <w:t xml:space="preserve">Acta de destrucción con fotografías</w:t>
      </w:r>
    </w:p>
    <w:p>
      <w:pPr>
        <w:pStyle w:val="Compact"/>
        <w:numPr>
          <w:ilvl w:val="0"/>
          <w:numId w:val="1010"/>
        </w:numPr>
      </w:pPr>
      <w:r>
        <w:t xml:space="preserve">Certificado de destrucción</w:t>
      </w:r>
    </w:p>
    <w:bookmarkEnd w:id="49"/>
    <w:bookmarkEnd w:id="50"/>
    <w:bookmarkStart w:id="54" w:name="fase-6-evaluación-de-efectividad"/>
    <w:p>
      <w:pPr>
        <w:pStyle w:val="Heading3"/>
      </w:pPr>
      <w:r>
        <w:t xml:space="preserve">FASE 6: EVALUACIÓN DE EFECTIVIDAD</w:t>
      </w:r>
    </w:p>
    <w:bookmarkStart w:id="51" w:name="cálculo-de-efectividad"/>
    <w:p>
      <w:pPr>
        <w:pStyle w:val="Heading4"/>
      </w:pPr>
      <w:r>
        <w:t xml:space="preserve">6.6.1 Cálculo de Efectividad</w:t>
      </w:r>
    </w:p>
    <w:p>
      <w:pPr>
        <w:pStyle w:val="SourceCode"/>
      </w:pPr>
      <w:r>
        <w:rPr>
          <w:rStyle w:val="VerbatimChar"/>
        </w:rPr>
        <w:t xml:space="preserve">Efectividad (%) = (Cantidad Retirada / Cantidad Distribuida) x 100</w:t>
      </w:r>
    </w:p>
    <w:p>
      <w:pPr>
        <w:pStyle w:val="FirstParagraph"/>
      </w:pPr>
      <w:r>
        <w:rPr>
          <w:b/>
          <w:bCs/>
        </w:rPr>
        <w:t xml:space="preserve">Meta mínima:</w:t>
      </w:r>
      <w:r>
        <w:t xml:space="preserve"> </w:t>
      </w:r>
      <w:r>
        <w:t xml:space="preserve">95% para Clase I, 90% para Clase II, 80% para Clase III</w:t>
      </w:r>
    </w:p>
    <w:bookmarkEnd w:id="51"/>
    <w:bookmarkStart w:id="52" w:name="seguimiento"/>
    <w:p>
      <w:pPr>
        <w:pStyle w:val="Heading4"/>
      </w:pPr>
      <w:r>
        <w:t xml:space="preserve">6.6.2 Seguimiento</w:t>
      </w:r>
    </w:p>
    <w:p>
      <w:pPr>
        <w:pStyle w:val="Compact"/>
        <w:numPr>
          <w:ilvl w:val="0"/>
          <w:numId w:val="1011"/>
        </w:numPr>
      </w:pPr>
      <w:r>
        <w:t xml:space="preserve">Contactar clientes que no respondieron</w:t>
      </w:r>
    </w:p>
    <w:p>
      <w:pPr>
        <w:pStyle w:val="Compact"/>
        <w:numPr>
          <w:ilvl w:val="0"/>
          <w:numId w:val="1011"/>
        </w:numPr>
      </w:pPr>
      <w:r>
        <w:t xml:space="preserve">Verificar que no quede producto en puntos de venta</w:t>
      </w:r>
    </w:p>
    <w:p>
      <w:pPr>
        <w:pStyle w:val="Compact"/>
        <w:numPr>
          <w:ilvl w:val="0"/>
          <w:numId w:val="1011"/>
        </w:numPr>
      </w:pPr>
      <w:r>
        <w:t xml:space="preserve">Confirmar destrucción/reproceso del producto retirado</w:t>
      </w:r>
    </w:p>
    <w:bookmarkEnd w:id="52"/>
    <w:bookmarkStart w:id="53" w:name="cierre-del-retiro"/>
    <w:p>
      <w:pPr>
        <w:pStyle w:val="Heading4"/>
      </w:pPr>
      <w:r>
        <w:t xml:space="preserve">6.6.3 Cierre del Retiro</w:t>
      </w:r>
    </w:p>
    <w:p>
      <w:pPr>
        <w:pStyle w:val="FirstParagraph"/>
      </w:pPr>
      <w:r>
        <w:t xml:space="preserve">Cuando se alcance la meta de efectividad o se determine que no es posible más retiro:</w:t>
      </w:r>
      <w:r>
        <w:t xml:space="preserve"> </w:t>
      </w:r>
      <w:r>
        <w:t xml:space="preserve">- Elaborar informe final</w:t>
      </w:r>
      <w:r>
        <w:t xml:space="preserve"> </w:t>
      </w:r>
      <w:r>
        <w:t xml:space="preserve">- Notificar cierre al ICA</w:t>
      </w:r>
      <w:r>
        <w:t xml:space="preserve"> </w:t>
      </w:r>
      <w:r>
        <w:t xml:space="preserve">- Archivar toda la documentación</w:t>
      </w:r>
      <w:r>
        <w:t xml:space="preserve"> </w:t>
      </w:r>
      <w:r>
        <w:t xml:space="preserve">- Lecciones aprendidas</w:t>
      </w:r>
    </w:p>
    <w:bookmarkEnd w:id="53"/>
    <w:bookmarkEnd w:id="54"/>
    <w:bookmarkEnd w:id="55"/>
    <w:bookmarkStart w:id="59" w:name="investigación-y-acciones-correctivas"/>
    <w:p>
      <w:pPr>
        <w:pStyle w:val="Heading2"/>
      </w:pPr>
      <w:r>
        <w:t xml:space="preserve">7. INVESTIGACIÓN Y ACCIONES CORRECTIVAS</w:t>
      </w:r>
    </w:p>
    <w:bookmarkStart w:id="56" w:name="investigación-de-causa-raíz"/>
    <w:p>
      <w:pPr>
        <w:pStyle w:val="Heading3"/>
      </w:pPr>
      <w:r>
        <w:t xml:space="preserve">7.1 Investigación de Causa Raíz</w:t>
      </w:r>
    </w:p>
    <w:p>
      <w:pPr>
        <w:pStyle w:val="FirstParagraph"/>
      </w:pPr>
      <w:r>
        <w:t xml:space="preserve">Análisis de:</w:t>
      </w:r>
      <w:r>
        <w:t xml:space="preserve"> </w:t>
      </w:r>
      <w:r>
        <w:t xml:space="preserve">- ¿Por qué ocurrió el problema?</w:t>
      </w:r>
      <w:r>
        <w:t xml:space="preserve"> </w:t>
      </w:r>
      <w:r>
        <w:t xml:space="preserve">- ¿Por qué no se detectó antes de la liberación?</w:t>
      </w:r>
      <w:r>
        <w:t xml:space="preserve"> </w:t>
      </w:r>
      <w:r>
        <w:t xml:space="preserve">- ¿Qué otros lotes podrían estar afectados?</w:t>
      </w:r>
      <w:r>
        <w:t xml:space="preserve"> </w:t>
      </w:r>
      <w:r>
        <w:t xml:space="preserve">- ¿Qué sistemas fallaron?</w:t>
      </w:r>
    </w:p>
    <w:p>
      <w:pPr>
        <w:pStyle w:val="BodyText"/>
      </w:pPr>
      <w:r>
        <w:rPr>
          <w:b/>
          <w:bCs/>
        </w:rPr>
        <w:t xml:space="preserve">Herramientas:</w:t>
      </w:r>
      <w:r>
        <w:t xml:space="preserve"> </w:t>
      </w:r>
      <w:r>
        <w:t xml:space="preserve">Diagrama de Ishikawa, 5 Porqués, Análisis de Árbol de Fallos</w:t>
      </w:r>
    </w:p>
    <w:bookmarkEnd w:id="56"/>
    <w:bookmarkStart w:id="57" w:name="acciones-correctivas"/>
    <w:p>
      <w:pPr>
        <w:pStyle w:val="Heading3"/>
      </w:pPr>
      <w:r>
        <w:t xml:space="preserve">7.2 Acciones Correctivas</w:t>
      </w:r>
    </w:p>
    <w:p>
      <w:pPr>
        <w:pStyle w:val="Compact"/>
        <w:numPr>
          <w:ilvl w:val="0"/>
          <w:numId w:val="1012"/>
        </w:numPr>
      </w:pPr>
      <w:r>
        <w:t xml:space="preserve">Acciones inmediatas (contención)</w:t>
      </w:r>
    </w:p>
    <w:p>
      <w:pPr>
        <w:pStyle w:val="Compact"/>
        <w:numPr>
          <w:ilvl w:val="0"/>
          <w:numId w:val="1012"/>
        </w:numPr>
      </w:pPr>
      <w:r>
        <w:t xml:space="preserve">Acciones correctivas (eliminar causa)</w:t>
      </w:r>
    </w:p>
    <w:p>
      <w:pPr>
        <w:pStyle w:val="Compact"/>
        <w:numPr>
          <w:ilvl w:val="0"/>
          <w:numId w:val="1012"/>
        </w:numPr>
      </w:pPr>
      <w:r>
        <w:t xml:space="preserve">Acciones preventivas (evitar recurrencia)</w:t>
      </w:r>
    </w:p>
    <w:bookmarkEnd w:id="57"/>
    <w:bookmarkStart w:id="58" w:name="seguimiento-1"/>
    <w:p>
      <w:pPr>
        <w:pStyle w:val="Heading3"/>
      </w:pPr>
      <w:r>
        <w:t xml:space="preserve">7.3 Seguimiento</w:t>
      </w:r>
    </w:p>
    <w:p>
      <w:pPr>
        <w:pStyle w:val="Compact"/>
        <w:numPr>
          <w:ilvl w:val="0"/>
          <w:numId w:val="1013"/>
        </w:numPr>
      </w:pPr>
      <w:r>
        <w:t xml:space="preserve">Verificación de implementación de acciones</w:t>
      </w:r>
    </w:p>
    <w:p>
      <w:pPr>
        <w:pStyle w:val="Compact"/>
        <w:numPr>
          <w:ilvl w:val="0"/>
          <w:numId w:val="1013"/>
        </w:numPr>
      </w:pPr>
      <w:r>
        <w:t xml:space="preserve">Evaluación de efectividad</w:t>
      </w:r>
    </w:p>
    <w:p>
      <w:pPr>
        <w:pStyle w:val="Compact"/>
        <w:numPr>
          <w:ilvl w:val="0"/>
          <w:numId w:val="1013"/>
        </w:numPr>
      </w:pPr>
      <w:r>
        <w:t xml:space="preserve">Cierre de acciones</w:t>
      </w:r>
    </w:p>
    <w:bookmarkEnd w:id="58"/>
    <w:bookmarkEnd w:id="59"/>
    <w:bookmarkStart w:id="63" w:name="comunicación-con-el-ica"/>
    <w:p>
      <w:pPr>
        <w:pStyle w:val="Heading2"/>
      </w:pPr>
      <w:r>
        <w:t xml:space="preserve">8. COMUNICACIÓN CON EL ICA</w:t>
      </w:r>
    </w:p>
    <w:bookmarkStart w:id="60" w:name="notificación-inicial-24-horas"/>
    <w:p>
      <w:pPr>
        <w:pStyle w:val="Heading3"/>
      </w:pPr>
      <w:r>
        <w:t xml:space="preserve">8.1 Notificación Inicial (24 horas)</w:t>
      </w:r>
    </w:p>
    <w:p>
      <w:pPr>
        <w:pStyle w:val="FirstParagraph"/>
      </w:pPr>
      <w:r>
        <w:t xml:space="preserve">Contenido:</w:t>
      </w:r>
      <w:r>
        <w:t xml:space="preserve"> </w:t>
      </w:r>
      <w:r>
        <w:t xml:space="preserve">- Identificación del producto</w:t>
      </w:r>
      <w:r>
        <w:t xml:space="preserve"> </w:t>
      </w:r>
      <w:r>
        <w:t xml:space="preserve">- Lotes y cantidades</w:t>
      </w:r>
      <w:r>
        <w:t xml:space="preserve"> </w:t>
      </w:r>
      <w:r>
        <w:t xml:space="preserve">- Descripción del problema</w:t>
      </w:r>
      <w:r>
        <w:t xml:space="preserve"> </w:t>
      </w:r>
      <w:r>
        <w:t xml:space="preserve">- Evaluación de riesgo</w:t>
      </w:r>
      <w:r>
        <w:t xml:space="preserve"> </w:t>
      </w:r>
      <w:r>
        <w:t xml:space="preserve">- Distribución geográfica</w:t>
      </w:r>
      <w:r>
        <w:t xml:space="preserve"> </w:t>
      </w:r>
      <w:r>
        <w:t xml:space="preserve">- Plan de retiro</w:t>
      </w:r>
    </w:p>
    <w:bookmarkEnd w:id="60"/>
    <w:bookmarkStart w:id="61" w:name="informes-de-progreso-semanal"/>
    <w:p>
      <w:pPr>
        <w:pStyle w:val="Heading3"/>
      </w:pPr>
      <w:r>
        <w:t xml:space="preserve">8.2 Informes de Progreso (semanal)</w:t>
      </w:r>
    </w:p>
    <w:p>
      <w:pPr>
        <w:pStyle w:val="Compact"/>
        <w:numPr>
          <w:ilvl w:val="0"/>
          <w:numId w:val="1014"/>
        </w:numPr>
      </w:pPr>
      <w:r>
        <w:t xml:space="preserve">Avance del retiro</w:t>
      </w:r>
    </w:p>
    <w:p>
      <w:pPr>
        <w:pStyle w:val="Compact"/>
        <w:numPr>
          <w:ilvl w:val="0"/>
          <w:numId w:val="1014"/>
        </w:numPr>
      </w:pPr>
      <w:r>
        <w:t xml:space="preserve">Efectividad alcanzada</w:t>
      </w:r>
    </w:p>
    <w:p>
      <w:pPr>
        <w:pStyle w:val="Compact"/>
        <w:numPr>
          <w:ilvl w:val="0"/>
          <w:numId w:val="1014"/>
        </w:numPr>
      </w:pPr>
      <w:r>
        <w:t xml:space="preserve">Dificultades encontradas</w:t>
      </w:r>
    </w:p>
    <w:p>
      <w:pPr>
        <w:pStyle w:val="Compact"/>
        <w:numPr>
          <w:ilvl w:val="0"/>
          <w:numId w:val="1014"/>
        </w:numPr>
      </w:pPr>
      <w:r>
        <w:t xml:space="preserve">Acciones correctivas implementadas</w:t>
      </w:r>
    </w:p>
    <w:bookmarkEnd w:id="61"/>
    <w:bookmarkStart w:id="62" w:name="informe-final"/>
    <w:p>
      <w:pPr>
        <w:pStyle w:val="Heading3"/>
      </w:pPr>
      <w:r>
        <w:t xml:space="preserve">8.3 Informe Final</w:t>
      </w:r>
    </w:p>
    <w:p>
      <w:pPr>
        <w:pStyle w:val="Compact"/>
        <w:numPr>
          <w:ilvl w:val="0"/>
          <w:numId w:val="1015"/>
        </w:numPr>
      </w:pPr>
      <w:r>
        <w:t xml:space="preserve">Resumen del incidente</w:t>
      </w:r>
    </w:p>
    <w:p>
      <w:pPr>
        <w:pStyle w:val="Compact"/>
        <w:numPr>
          <w:ilvl w:val="0"/>
          <w:numId w:val="1015"/>
        </w:numPr>
      </w:pPr>
      <w:r>
        <w:t xml:space="preserve">Resultado del retiro (cantidades, efectividad)</w:t>
      </w:r>
    </w:p>
    <w:p>
      <w:pPr>
        <w:pStyle w:val="Compact"/>
        <w:numPr>
          <w:ilvl w:val="0"/>
          <w:numId w:val="1015"/>
        </w:numPr>
      </w:pPr>
      <w:r>
        <w:t xml:space="preserve">Disposición final del producto</w:t>
      </w:r>
    </w:p>
    <w:p>
      <w:pPr>
        <w:pStyle w:val="Compact"/>
        <w:numPr>
          <w:ilvl w:val="0"/>
          <w:numId w:val="1015"/>
        </w:numPr>
      </w:pPr>
      <w:r>
        <w:t xml:space="preserve">Causa raíz identificada</w:t>
      </w:r>
    </w:p>
    <w:p>
      <w:pPr>
        <w:pStyle w:val="Compact"/>
        <w:numPr>
          <w:ilvl w:val="0"/>
          <w:numId w:val="1015"/>
        </w:numPr>
      </w:pPr>
      <w:r>
        <w:t xml:space="preserve">Acciones correctivas y preventivas</w:t>
      </w:r>
    </w:p>
    <w:p>
      <w:pPr>
        <w:pStyle w:val="Compact"/>
        <w:numPr>
          <w:ilvl w:val="0"/>
          <w:numId w:val="1015"/>
        </w:numPr>
      </w:pPr>
      <w:r>
        <w:t xml:space="preserve">Lecciones aprendidas</w:t>
      </w:r>
    </w:p>
    <w:p>
      <w:pPr>
        <w:pStyle w:val="Compact"/>
        <w:numPr>
          <w:ilvl w:val="0"/>
          <w:numId w:val="1015"/>
        </w:numPr>
      </w:pPr>
      <w:r>
        <w:t xml:space="preserve">Evidencia de cierre</w:t>
      </w:r>
    </w:p>
    <w:bookmarkEnd w:id="62"/>
    <w:bookmarkEnd w:id="63"/>
    <w:bookmarkStart w:id="64" w:name="registros-relacionados"/>
    <w:p>
      <w:pPr>
        <w:pStyle w:val="Heading2"/>
      </w:pPr>
      <w:r>
        <w:t xml:space="preserve">9. REGISTROS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4891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Nombre del Registro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RC-SI58</w:t>
            </w:r>
          </w:p>
        </w:tc>
        <w:tc>
          <w:tcPr/>
          <w:p>
            <w:pPr>
              <w:pStyle w:val="Compact"/>
            </w:pPr>
            <w:r>
              <w:t xml:space="preserve">Alerta de Calidad</w:t>
            </w:r>
          </w:p>
        </w:tc>
        <w:tc>
          <w:tcPr/>
          <w:p>
            <w:pPr>
              <w:pStyle w:val="Compact"/>
            </w:pPr>
            <w:r>
              <w:t xml:space="preserve">Inicio del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RC-SI59</w:t>
            </w:r>
          </w:p>
        </w:tc>
        <w:tc>
          <w:tcPr/>
          <w:p>
            <w:pPr>
              <w:pStyle w:val="Compact"/>
            </w:pPr>
            <w:r>
              <w:t xml:space="preserve">Reporte de Distribución del Producto</w:t>
            </w:r>
          </w:p>
        </w:tc>
        <w:tc>
          <w:tcPr/>
          <w:p>
            <w:pPr>
              <w:pStyle w:val="Compact"/>
            </w:pPr>
            <w:r>
              <w:t xml:space="preserve">Identificación de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RC-SI60</w:t>
            </w:r>
          </w:p>
        </w:tc>
        <w:tc>
          <w:tcPr/>
          <w:p>
            <w:pPr>
              <w:pStyle w:val="Compact"/>
            </w:pPr>
            <w:r>
              <w:t xml:space="preserve">Recepción de Producto Retirado</w:t>
            </w:r>
          </w:p>
        </w:tc>
        <w:tc>
          <w:tcPr/>
          <w:p>
            <w:pPr>
              <w:pStyle w:val="Compact"/>
            </w:pPr>
            <w:r>
              <w:t xml:space="preserve">Control de retornos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RC-SI61</w:t>
            </w:r>
          </w:p>
        </w:tc>
        <w:tc>
          <w:tcPr/>
          <w:p>
            <w:pPr>
              <w:pStyle w:val="Compact"/>
            </w:pPr>
            <w:r>
              <w:t xml:space="preserve">Notificación a Clientes</w:t>
            </w:r>
          </w:p>
        </w:tc>
        <w:tc>
          <w:tcPr/>
          <w:p>
            <w:pPr>
              <w:pStyle w:val="Compact"/>
            </w:pPr>
            <w:r>
              <w:t xml:space="preserve">Comunicaciones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RC-SI62</w:t>
            </w:r>
          </w:p>
        </w:tc>
        <w:tc>
          <w:tcPr/>
          <w:p>
            <w:pPr>
              <w:pStyle w:val="Compact"/>
            </w:pPr>
            <w:r>
              <w:t xml:space="preserve">Efectividad del Retiro</w:t>
            </w:r>
          </w:p>
        </w:tc>
        <w:tc>
          <w:tcPr/>
          <w:p>
            <w:pPr>
              <w:pStyle w:val="Compact"/>
            </w:pPr>
            <w:r>
              <w:t xml:space="preserve">Seguimiento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RC-SI63</w:t>
            </w:r>
          </w:p>
        </w:tc>
        <w:tc>
          <w:tcPr/>
          <w:p>
            <w:pPr>
              <w:pStyle w:val="Compact"/>
            </w:pPr>
            <w:r>
              <w:t xml:space="preserve">Informe Final de Retiro</w:t>
            </w:r>
          </w:p>
        </w:tc>
        <w:tc>
          <w:tcPr/>
          <w:p>
            <w:pPr>
              <w:pStyle w:val="Compact"/>
            </w:pPr>
            <w:r>
              <w:t xml:space="preserve">Cierre y archivo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RC-SI64</w:t>
            </w:r>
          </w:p>
        </w:tc>
        <w:tc>
          <w:tcPr/>
          <w:p>
            <w:pPr>
              <w:pStyle w:val="Compact"/>
            </w:pPr>
            <w:r>
              <w:t xml:space="preserve">Acta de Destrucción</w:t>
            </w:r>
          </w:p>
        </w:tc>
        <w:tc>
          <w:tcPr/>
          <w:p>
            <w:pPr>
              <w:pStyle w:val="Compact"/>
            </w:pPr>
            <w:r>
              <w:t xml:space="preserve">Evidencia de disposición</w:t>
            </w:r>
          </w:p>
        </w:tc>
      </w:tr>
    </w:tbl>
    <w:bookmarkEnd w:id="64"/>
    <w:bookmarkStart w:id="65" w:name="simulacro-de-retiro"/>
    <w:p>
      <w:pPr>
        <w:pStyle w:val="Heading2"/>
      </w:pPr>
      <w:r>
        <w:t xml:space="preserve">10. SIMULACRO DE RETIRO</w:t>
      </w:r>
    </w:p>
    <w:p>
      <w:pPr>
        <w:pStyle w:val="FirstParagraph"/>
      </w:pPr>
      <w:r>
        <w:rPr>
          <w:b/>
          <w:bCs/>
        </w:rPr>
        <w:t xml:space="preserve">Frecuencia:</w:t>
      </w:r>
      <w:r>
        <w:t xml:space="preserve"> </w:t>
      </w:r>
      <w:r>
        <w:t xml:space="preserve">Mínimo anual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Verificar la efectividad del procedimiento</w:t>
      </w:r>
      <w:r>
        <w:t xml:space="preserve"> </w:t>
      </w:r>
      <w:r>
        <w:rPr>
          <w:b/>
          <w:bCs/>
        </w:rPr>
        <w:t xml:space="preserve">Alcance:</w:t>
      </w:r>
      <w:r>
        <w:t xml:space="preserve"> </w:t>
      </w:r>
      <w:r>
        <w:t xml:space="preserve">Simular retiro de un lote seleccionado aleatoriamente</w:t>
      </w:r>
      <w:r>
        <w:t xml:space="preserve"> </w:t>
      </w:r>
      <w:r>
        <w:rPr>
          <w:b/>
          <w:bCs/>
        </w:rPr>
        <w:t xml:space="preserve">Evaluación:</w:t>
      </w:r>
      <w:r>
        <w:t xml:space="preserve"> </w:t>
      </w:r>
      <w:r>
        <w:t xml:space="preserve">Tiempo de respuesta, comunicaciones, trazabilidad</w:t>
      </w:r>
      <w:r>
        <w:t xml:space="preserve"> </w:t>
      </w:r>
      <w:r>
        <w:rPr>
          <w:b/>
          <w:bCs/>
        </w:rPr>
        <w:t xml:space="preserve">Registro:</w:t>
      </w:r>
      <w:r>
        <w:t xml:space="preserve"> </w:t>
      </w:r>
      <w:r>
        <w:t xml:space="preserve">RC-SI65 Simulacro de Retiro</w:t>
      </w:r>
    </w:p>
    <w:bookmarkEnd w:id="65"/>
    <w:bookmarkStart w:id="66" w:name="referencias-normativas"/>
    <w:p>
      <w:pPr>
        <w:pStyle w:val="Heading2"/>
      </w:pPr>
      <w:r>
        <w:t xml:space="preserve">11. REFERENCIAS NORMATIVAS</w:t>
      </w:r>
    </w:p>
    <w:p>
      <w:pPr>
        <w:pStyle w:val="Compact"/>
        <w:numPr>
          <w:ilvl w:val="0"/>
          <w:numId w:val="1016"/>
        </w:numPr>
      </w:pPr>
      <w:r>
        <w:t xml:space="preserve">Resolución ICA (propuesta pv0) - Anexo I-A: Retiro de Producto/Trazabilidad</w:t>
      </w:r>
    </w:p>
    <w:p>
      <w:pPr>
        <w:pStyle w:val="Compact"/>
        <w:numPr>
          <w:ilvl w:val="0"/>
          <w:numId w:val="1016"/>
        </w:numPr>
      </w:pPr>
      <w:r>
        <w:t xml:space="preserve">Decreto 677 de 1995 (Colombia) - Retiro de productos del mercado</w:t>
      </w:r>
    </w:p>
    <w:p>
      <w:pPr>
        <w:pStyle w:val="Compact"/>
        <w:numPr>
          <w:ilvl w:val="0"/>
          <w:numId w:val="1016"/>
        </w:numPr>
      </w:pPr>
      <w:r>
        <w:t xml:space="preserve">ISO 9001:2015 - Control de producto no conforme</w:t>
      </w:r>
    </w:p>
    <w:p>
      <w:pPr>
        <w:pStyle w:val="Compact"/>
        <w:numPr>
          <w:ilvl w:val="0"/>
          <w:numId w:val="1016"/>
        </w:numPr>
      </w:pPr>
      <w:r>
        <w:t xml:space="preserve">BPM - Gestión de desviaciones y retiros</w:t>
      </w:r>
    </w:p>
    <w:bookmarkEnd w:id="66"/>
    <w:bookmarkStart w:id="71" w:name="anexos"/>
    <w:p>
      <w:pPr>
        <w:pStyle w:val="Heading2"/>
      </w:pPr>
      <w:r>
        <w:t xml:space="preserve">12. ANEXOS</w:t>
      </w:r>
    </w:p>
    <w:bookmarkStart w:id="67" w:name="X00dd449ad6948a7ffb357d52d1baf3631104fbb"/>
    <w:p>
      <w:pPr>
        <w:pStyle w:val="Heading3"/>
      </w:pPr>
      <w:r>
        <w:t xml:space="preserve">Anexo A: Formato de Notificación al Cliente</w:t>
      </w:r>
    </w:p>
    <w:bookmarkEnd w:id="67"/>
    <w:bookmarkStart w:id="68" w:name="anexo-b-formato-de-notificación-al-ica"/>
    <w:p>
      <w:pPr>
        <w:pStyle w:val="Heading3"/>
      </w:pPr>
      <w:r>
        <w:t xml:space="preserve">Anexo B: Formato de Notificación al ICA</w:t>
      </w:r>
    </w:p>
    <w:bookmarkEnd w:id="68"/>
    <w:bookmarkStart w:id="69" w:name="Xb891bede0a84ed549d6b0731979039087fe2a30"/>
    <w:p>
      <w:pPr>
        <w:pStyle w:val="Heading3"/>
      </w:pPr>
      <w:r>
        <w:t xml:space="preserve">Anexo C: Matriz de Clasificación de Riesgo</w:t>
      </w:r>
    </w:p>
    <w:bookmarkEnd w:id="69"/>
    <w:bookmarkStart w:id="70" w:name="Xf37a678681385356cfdb8af75b9aecb84ddd271"/>
    <w:p>
      <w:pPr>
        <w:pStyle w:val="Heading3"/>
      </w:pPr>
      <w:r>
        <w:t xml:space="preserve">Anexo D: Flujograma del Procedimiento de Retiro</w:t>
      </w:r>
    </w:p>
    <w:bookmarkEnd w:id="70"/>
    <w:bookmarkEnd w:id="71"/>
    <w:bookmarkStart w:id="72" w:name="historial-de-cambios"/>
    <w:p>
      <w:pPr>
        <w:pStyle w:val="Heading2"/>
      </w:pPr>
      <w:r>
        <w:t xml:space="preserve">13. HISTORIAL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Aprobó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t xml:space="preserve">Emisión inicial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PROCEDIMIENTO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 DE EMERGENCIA:</w:t>
      </w:r>
      <w:r>
        <w:t xml:space="preserve"> </w:t>
      </w:r>
      <w:r>
        <w:t xml:space="preserve">En caso de detectar un riesgo inmediato para la salud (Clase I), contactar inmediatamente:</w:t>
      </w:r>
      <w:r>
        <w:t xml:space="preserve"> </w:t>
      </w:r>
      <w:r>
        <w:t xml:space="preserve">- Dirección: [Teléfono]</w:t>
      </w:r>
      <w:r>
        <w:t xml:space="preserve"> </w:t>
      </w:r>
      <w:r>
        <w:t xml:space="preserve">- ICA: Línea nacional [Número]</w:t>
      </w:r>
      <w:r>
        <w:t xml:space="preserve"> </w:t>
      </w:r>
      <w:r>
        <w:t xml:space="preserve">- Responsable Calidad: [Teléfono]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2026-05-24T17:05:47Z</dcterms:created>
  <dcterms:modified xsi:type="dcterms:W3CDTF">2026-05-24T17:05:47Z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