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Xee34562cc9c63f1d422f2fd13bbe5d205f32e7c"/>
    <w:p>
      <w:pPr>
        <w:pStyle w:val="Heading1"/>
      </w:pPr>
      <w:r>
        <w:t xml:space="preserve">PROCEDIMIENTO RAPIDO: RETIRO DE PRODUCTO (RECALL)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CODIGO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VIGENCIA</w:t>
            </w:r>
          </w:p>
        </w:tc>
        <w:tc>
          <w:tcPr/>
          <w:p>
            <w:pPr>
              <w:pStyle w:val="Compact"/>
            </w:pPr>
            <w:r>
              <w:t xml:space="preserve">PROXIMA REVISION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POE-RP-01</w:t>
            </w:r>
          </w:p>
        </w:tc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t xml:space="preserve">2026-03-17</w:t>
            </w:r>
          </w:p>
        </w:tc>
        <w:tc>
          <w:tcPr/>
          <w:p>
            <w:pPr>
              <w:pStyle w:val="Compact"/>
            </w:pPr>
            <w:r>
              <w:t xml:space="preserve">12 meses o ante cambio regulatorio</w:t>
            </w:r>
          </w:p>
        </w:tc>
      </w:tr>
    </w:tbl>
    <w:bookmarkStart w:id="20" w:name="objetivo"/>
    <w:p>
      <w:pPr>
        <w:pStyle w:val="Heading2"/>
      </w:pPr>
      <w:r>
        <w:t xml:space="preserve">1. OBJETIVO</w:t>
      </w:r>
    </w:p>
    <w:p>
      <w:pPr>
        <w:pStyle w:val="FirstParagraph"/>
      </w:pPr>
      <w:r>
        <w:t xml:space="preserve">Definir una ruta rapida y auditable para inmovilizar, comunicar, recuperar y cerrar el retiro de productos o lotes con no conformidad critica.</w:t>
      </w:r>
    </w:p>
    <w:bookmarkEnd w:id="20"/>
    <w:bookmarkStart w:id="21" w:name="alcance"/>
    <w:p>
      <w:pPr>
        <w:pStyle w:val="Heading2"/>
      </w:pPr>
      <w:r>
        <w:t xml:space="preserve">2. ALCANCE</w:t>
      </w:r>
    </w:p>
    <w:p>
      <w:pPr>
        <w:pStyle w:val="FirstParagraph"/>
      </w:pPr>
      <w:r>
        <w:t xml:space="preserve">Aplica a productos fabricados, formulados, envasados o distribuidos por CALFERQUIM S.A.S. cuando exista riesgo tecnico, incumplimiento de especificacion, error de etiquetado o requerimiento de autoridad.</w:t>
      </w:r>
    </w:p>
    <w:bookmarkEnd w:id="21"/>
    <w:bookmarkStart w:id="22" w:name="responsables"/>
    <w:p>
      <w:pPr>
        <w:pStyle w:val="Heading2"/>
      </w:pPr>
      <w:r>
        <w:t xml:space="preserve">3. RESPONSABLES</w:t>
      </w:r>
    </w:p>
    <w:p>
      <w:pPr>
        <w:pStyle w:val="Compact"/>
        <w:numPr>
          <w:ilvl w:val="0"/>
          <w:numId w:val="1001"/>
        </w:numPr>
      </w:pPr>
      <w:r>
        <w:t xml:space="preserve">Direccion Tecnica: activa el comite y aprueba cierre.</w:t>
      </w:r>
    </w:p>
    <w:p>
      <w:pPr>
        <w:pStyle w:val="Compact"/>
        <w:numPr>
          <w:ilvl w:val="0"/>
          <w:numId w:val="1001"/>
        </w:numPr>
      </w:pPr>
      <w:r>
        <w:t xml:space="preserve">Calidad: confirma lotes afectados y verifica trazabilidad.</w:t>
      </w:r>
    </w:p>
    <w:p>
      <w:pPr>
        <w:pStyle w:val="Compact"/>
        <w:numPr>
          <w:ilvl w:val="0"/>
          <w:numId w:val="1001"/>
        </w:numPr>
      </w:pPr>
      <w:r>
        <w:t xml:space="preserve">Servicio al Cliente: contacta clientes y registra respuestas.</w:t>
      </w:r>
    </w:p>
    <w:p>
      <w:pPr>
        <w:pStyle w:val="Compact"/>
        <w:numPr>
          <w:ilvl w:val="0"/>
          <w:numId w:val="1001"/>
        </w:numPr>
      </w:pPr>
      <w:r>
        <w:t xml:space="preserve">Logistica: inmoviliza inventario y coordina devoluciones.</w:t>
      </w:r>
    </w:p>
    <w:p>
      <w:pPr>
        <w:pStyle w:val="Compact"/>
        <w:numPr>
          <w:ilvl w:val="0"/>
          <w:numId w:val="1001"/>
        </w:numPr>
      </w:pPr>
      <w:r>
        <w:t xml:space="preserve">Comercial: apoya localizacion de clientes y distribuidores.</w:t>
      </w:r>
    </w:p>
    <w:bookmarkEnd w:id="22"/>
    <w:bookmarkStart w:id="23" w:name="criterios-de-activacion"/>
    <w:p>
      <w:pPr>
        <w:pStyle w:val="Heading2"/>
      </w:pPr>
      <w:r>
        <w:t xml:space="preserve">4. CRITERIOS DE ACTIVACION</w:t>
      </w:r>
    </w:p>
    <w:p>
      <w:pPr>
        <w:pStyle w:val="FirstParagraph"/>
      </w:pPr>
      <w:r>
        <w:t xml:space="preserve">Activar retiro cuando ocurra cualquiera de estos eventos:</w:t>
      </w:r>
    </w:p>
    <w:p>
      <w:pPr>
        <w:pStyle w:val="Compact"/>
        <w:numPr>
          <w:ilvl w:val="0"/>
          <w:numId w:val="1002"/>
        </w:numPr>
      </w:pPr>
      <w:r>
        <w:t xml:space="preserve">Resultado analitico fuera de especificacion con impacto relevante.</w:t>
      </w:r>
    </w:p>
    <w:p>
      <w:pPr>
        <w:pStyle w:val="Compact"/>
        <w:numPr>
          <w:ilvl w:val="0"/>
          <w:numId w:val="1002"/>
        </w:numPr>
      </w:pPr>
      <w:r>
        <w:t xml:space="preserve">Error de etiqueta, lote o instrucciones de uso.</w:t>
      </w:r>
    </w:p>
    <w:p>
      <w:pPr>
        <w:pStyle w:val="Compact"/>
        <w:numPr>
          <w:ilvl w:val="0"/>
          <w:numId w:val="1002"/>
        </w:numPr>
      </w:pPr>
      <w:r>
        <w:t xml:space="preserve">Contaminacion fisica, quimica o microbiologica confirmada o probable.</w:t>
      </w:r>
    </w:p>
    <w:p>
      <w:pPr>
        <w:pStyle w:val="Compact"/>
        <w:numPr>
          <w:ilvl w:val="0"/>
          <w:numId w:val="1002"/>
        </w:numPr>
      </w:pPr>
      <w:r>
        <w:t xml:space="preserve">Queja critica repetitiva asociada a un mismo lote.</w:t>
      </w:r>
    </w:p>
    <w:p>
      <w:pPr>
        <w:pStyle w:val="Compact"/>
        <w:numPr>
          <w:ilvl w:val="0"/>
          <w:numId w:val="1002"/>
        </w:numPr>
      </w:pPr>
      <w:r>
        <w:t xml:space="preserve">Solicitud o requerimiento de autoridad competente.</w:t>
      </w:r>
    </w:p>
    <w:bookmarkEnd w:id="23"/>
    <w:bookmarkStart w:id="29" w:name="procedimiento-rapido"/>
    <w:p>
      <w:pPr>
        <w:pStyle w:val="Heading2"/>
      </w:pPr>
      <w:r>
        <w:t xml:space="preserve">5. PROCEDIMIENTO RAPIDO</w:t>
      </w:r>
    </w:p>
    <w:bookmarkStart w:id="24" w:name="activacion"/>
    <w:p>
      <w:pPr>
        <w:pStyle w:val="Heading3"/>
      </w:pPr>
      <w:r>
        <w:t xml:space="preserve">5.1 Activacion</w:t>
      </w:r>
    </w:p>
    <w:p>
      <w:pPr>
        <w:pStyle w:val="Compact"/>
        <w:numPr>
          <w:ilvl w:val="0"/>
          <w:numId w:val="1003"/>
        </w:numPr>
      </w:pPr>
      <w:r>
        <w:t xml:space="preserve">El area que detecta la novedad informa de inmediato a Calidad y Direccion Tecnica.</w:t>
      </w:r>
    </w:p>
    <w:p>
      <w:pPr>
        <w:pStyle w:val="Compact"/>
        <w:numPr>
          <w:ilvl w:val="0"/>
          <w:numId w:val="1003"/>
        </w:numPr>
      </w:pPr>
      <w:r>
        <w:t xml:space="preserve">Calidad abre el caso y registra fecha, lote, producto, motivo y riesgo.</w:t>
      </w:r>
    </w:p>
    <w:p>
      <w:pPr>
        <w:pStyle w:val="Compact"/>
        <w:numPr>
          <w:ilvl w:val="0"/>
          <w:numId w:val="1003"/>
        </w:numPr>
      </w:pPr>
      <w:r>
        <w:t xml:space="preserve">Direccion Tecnica define nivel de recall:</w:t>
      </w:r>
    </w:p>
    <w:p>
      <w:pPr>
        <w:pStyle w:val="Compact"/>
        <w:numPr>
          <w:ilvl w:val="1"/>
          <w:numId w:val="1004"/>
        </w:numPr>
      </w:pPr>
      <w:r>
        <w:t xml:space="preserve">Nivel 1: critico.</w:t>
      </w:r>
    </w:p>
    <w:p>
      <w:pPr>
        <w:pStyle w:val="Compact"/>
        <w:numPr>
          <w:ilvl w:val="1"/>
          <w:numId w:val="1004"/>
        </w:numPr>
      </w:pPr>
      <w:r>
        <w:t xml:space="preserve">Nivel 2: mayor.</w:t>
      </w:r>
    </w:p>
    <w:p>
      <w:pPr>
        <w:pStyle w:val="Compact"/>
        <w:numPr>
          <w:ilvl w:val="1"/>
          <w:numId w:val="1004"/>
        </w:numPr>
      </w:pPr>
      <w:r>
        <w:t xml:space="preserve">Nivel 3: preventivo.</w:t>
      </w:r>
    </w:p>
    <w:bookmarkEnd w:id="24"/>
    <w:bookmarkStart w:id="25" w:name="contencion-interna"/>
    <w:p>
      <w:pPr>
        <w:pStyle w:val="Heading3"/>
      </w:pPr>
      <w:r>
        <w:t xml:space="preserve">5.2 Contencion interna</w:t>
      </w:r>
    </w:p>
    <w:p>
      <w:pPr>
        <w:pStyle w:val="Compact"/>
        <w:numPr>
          <w:ilvl w:val="0"/>
          <w:numId w:val="1005"/>
        </w:numPr>
      </w:pPr>
      <w:r>
        <w:t xml:space="preserve">Logistica inmoviliza inventario disponible del lote afectado.</w:t>
      </w:r>
    </w:p>
    <w:p>
      <w:pPr>
        <w:pStyle w:val="Compact"/>
        <w:numPr>
          <w:ilvl w:val="0"/>
          <w:numId w:val="1005"/>
        </w:numPr>
      </w:pPr>
      <w:r>
        <w:t xml:space="preserve">Calidad bloquea nuevas liberaciones y revisa lotes relacionados.</w:t>
      </w:r>
    </w:p>
    <w:p>
      <w:pPr>
        <w:pStyle w:val="Compact"/>
        <w:numPr>
          <w:ilvl w:val="0"/>
          <w:numId w:val="1005"/>
        </w:numPr>
      </w:pPr>
      <w:r>
        <w:t xml:space="preserve">Se consolida trazabilidad minima: producido, despachado, saldo interno y clientes impactados.</w:t>
      </w:r>
    </w:p>
    <w:bookmarkEnd w:id="25"/>
    <w:bookmarkStart w:id="26" w:name="comunicacion-externa"/>
    <w:p>
      <w:pPr>
        <w:pStyle w:val="Heading3"/>
      </w:pPr>
      <w:r>
        <w:t xml:space="preserve">5.3 Comunicacion externa</w:t>
      </w:r>
    </w:p>
    <w:p>
      <w:pPr>
        <w:pStyle w:val="Compact"/>
        <w:numPr>
          <w:ilvl w:val="0"/>
          <w:numId w:val="1006"/>
        </w:numPr>
      </w:pPr>
      <w:r>
        <w:t xml:space="preserve">Servicio al Cliente emite notificacion a clientes y distribuidores afectados.</w:t>
      </w:r>
    </w:p>
    <w:p>
      <w:pPr>
        <w:pStyle w:val="Compact"/>
        <w:numPr>
          <w:ilvl w:val="0"/>
          <w:numId w:val="1006"/>
        </w:numPr>
      </w:pPr>
      <w:r>
        <w:t xml:space="preserve">La comunicacion debe incluir:</w:t>
      </w:r>
    </w:p>
    <w:p>
      <w:pPr>
        <w:pStyle w:val="Compact"/>
        <w:numPr>
          <w:ilvl w:val="1"/>
          <w:numId w:val="1007"/>
        </w:numPr>
      </w:pPr>
      <w:r>
        <w:t xml:space="preserve">producto y lote,</w:t>
      </w:r>
    </w:p>
    <w:p>
      <w:pPr>
        <w:pStyle w:val="Compact"/>
        <w:numPr>
          <w:ilvl w:val="1"/>
          <w:numId w:val="1007"/>
        </w:numPr>
      </w:pPr>
      <w:r>
        <w:t xml:space="preserve">motivo del retiro,</w:t>
      </w:r>
    </w:p>
    <w:p>
      <w:pPr>
        <w:pStyle w:val="Compact"/>
        <w:numPr>
          <w:ilvl w:val="1"/>
          <w:numId w:val="1007"/>
        </w:numPr>
      </w:pPr>
      <w:r>
        <w:t xml:space="preserve">instruccion de no uso o aislamiento,</w:t>
      </w:r>
    </w:p>
    <w:p>
      <w:pPr>
        <w:pStyle w:val="Compact"/>
        <w:numPr>
          <w:ilvl w:val="1"/>
          <w:numId w:val="1007"/>
        </w:numPr>
      </w:pPr>
      <w:r>
        <w:t xml:space="preserve">canal de devolucion o respuesta.</w:t>
      </w:r>
    </w:p>
    <w:p>
      <w:pPr>
        <w:pStyle w:val="Compact"/>
        <w:numPr>
          <w:ilvl w:val="0"/>
          <w:numId w:val="1006"/>
        </w:numPr>
      </w:pPr>
      <w:r>
        <w:t xml:space="preserve">Si aplica, Direccion Tecnica notifica al ICA o autoridad competente.</w:t>
      </w:r>
    </w:p>
    <w:bookmarkEnd w:id="26"/>
    <w:bookmarkStart w:id="27" w:name="recuperacion"/>
    <w:p>
      <w:pPr>
        <w:pStyle w:val="Heading3"/>
      </w:pPr>
      <w:r>
        <w:t xml:space="preserve">5.4 Recuperacion</w:t>
      </w:r>
    </w:p>
    <w:p>
      <w:pPr>
        <w:pStyle w:val="Compact"/>
        <w:numPr>
          <w:ilvl w:val="0"/>
          <w:numId w:val="1008"/>
        </w:numPr>
      </w:pPr>
      <w:r>
        <w:t xml:space="preserve">Logistica coordina recoleccion o devolucion del material.</w:t>
      </w:r>
    </w:p>
    <w:p>
      <w:pPr>
        <w:pStyle w:val="Compact"/>
        <w:numPr>
          <w:ilvl w:val="0"/>
          <w:numId w:val="1008"/>
        </w:numPr>
      </w:pPr>
      <w:r>
        <w:t xml:space="preserve">Todo producto recuperado queda segregado y rotulado como retenido.</w:t>
      </w:r>
    </w:p>
    <w:p>
      <w:pPr>
        <w:pStyle w:val="Compact"/>
        <w:numPr>
          <w:ilvl w:val="0"/>
          <w:numId w:val="1008"/>
        </w:numPr>
      </w:pPr>
      <w:r>
        <w:t xml:space="preserve">Calidad concilia cantidades despachadas, recuperadas y pendientes.</w:t>
      </w:r>
    </w:p>
    <w:bookmarkEnd w:id="27"/>
    <w:bookmarkStart w:id="28" w:name="cierre"/>
    <w:p>
      <w:pPr>
        <w:pStyle w:val="Heading3"/>
      </w:pPr>
      <w:r>
        <w:t xml:space="preserve">5.5 Cierre</w:t>
      </w:r>
    </w:p>
    <w:p>
      <w:pPr>
        <w:pStyle w:val="Compact"/>
        <w:numPr>
          <w:ilvl w:val="0"/>
          <w:numId w:val="1009"/>
        </w:numPr>
      </w:pPr>
      <w:r>
        <w:t xml:space="preserve">El comite evalua efectividad del retiro.</w:t>
      </w:r>
    </w:p>
    <w:p>
      <w:pPr>
        <w:pStyle w:val="Compact"/>
        <w:numPr>
          <w:ilvl w:val="0"/>
          <w:numId w:val="1009"/>
        </w:numPr>
      </w:pPr>
      <w:r>
        <w:t xml:space="preserve">Se define disposicion final del producto recuperado.</w:t>
      </w:r>
    </w:p>
    <w:p>
      <w:pPr>
        <w:pStyle w:val="Compact"/>
        <w:numPr>
          <w:ilvl w:val="0"/>
          <w:numId w:val="1009"/>
        </w:numPr>
      </w:pPr>
      <w:r>
        <w:t xml:space="preserve">Direccion Tecnica aprueba cierre con causa raiz y acciones correctivas.</w:t>
      </w:r>
    </w:p>
    <w:bookmarkEnd w:id="28"/>
    <w:bookmarkEnd w:id="29"/>
    <w:bookmarkStart w:id="30" w:name="tiempos-objetivo"/>
    <w:p>
      <w:pPr>
        <w:pStyle w:val="Heading2"/>
      </w:pPr>
      <w:r>
        <w:t xml:space="preserve">6. TIEMPOS OBJETIVO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ACTIVIDAD</w:t>
            </w:r>
          </w:p>
        </w:tc>
        <w:tc>
          <w:tcPr/>
          <w:p>
            <w:pPr>
              <w:pStyle w:val="Compact"/>
            </w:pPr>
            <w:r>
              <w:t xml:space="preserve">TIEMPO MAXIMO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Activacion del comite</w:t>
            </w:r>
          </w:p>
        </w:tc>
        <w:tc>
          <w:tcPr/>
          <w:p>
            <w:pPr>
              <w:pStyle w:val="Compact"/>
            </w:pPr>
            <w:r>
              <w:t xml:space="preserve">4 horas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Inmovilizacion interna</w:t>
            </w:r>
          </w:p>
        </w:tc>
        <w:tc>
          <w:tcPr/>
          <w:p>
            <w:pPr>
              <w:pStyle w:val="Compact"/>
            </w:pPr>
            <w:r>
              <w:t xml:space="preserve">8 horas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Primera comunicacion a clientes</w:t>
            </w:r>
          </w:p>
        </w:tc>
        <w:tc>
          <w:tcPr/>
          <w:p>
            <w:pPr>
              <w:pStyle w:val="Compact"/>
            </w:pPr>
            <w:r>
              <w:t xml:space="preserve">24 horas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Conciliacion inicial de lotes</w:t>
            </w:r>
          </w:p>
        </w:tc>
        <w:tc>
          <w:tcPr/>
          <w:p>
            <w:pPr>
              <w:pStyle w:val="Compact"/>
            </w:pPr>
            <w:r>
              <w:t xml:space="preserve">48 horas</w:t>
            </w:r>
          </w:p>
        </w:tc>
      </w:tr>
    </w:tbl>
    <w:bookmarkEnd w:id="30"/>
    <w:bookmarkStart w:id="31" w:name="registros-minimos"/>
    <w:p>
      <w:pPr>
        <w:pStyle w:val="Heading2"/>
      </w:pPr>
      <w:r>
        <w:t xml:space="preserve">7. REGISTROS MINIMOS</w:t>
      </w:r>
    </w:p>
    <w:p>
      <w:pPr>
        <w:pStyle w:val="Compact"/>
        <w:numPr>
          <w:ilvl w:val="0"/>
          <w:numId w:val="1010"/>
        </w:numPr>
      </w:pPr>
      <w:r>
        <w:t xml:space="preserve">Formato de activacion del recall.</w:t>
      </w:r>
    </w:p>
    <w:p>
      <w:pPr>
        <w:pStyle w:val="Compact"/>
        <w:numPr>
          <w:ilvl w:val="0"/>
          <w:numId w:val="1010"/>
        </w:numPr>
      </w:pPr>
      <w:r>
        <w:t xml:space="preserve">Registro de trazabilidad por lote y cliente.</w:t>
      </w:r>
    </w:p>
    <w:p>
      <w:pPr>
        <w:pStyle w:val="Compact"/>
        <w:numPr>
          <w:ilvl w:val="0"/>
          <w:numId w:val="1010"/>
        </w:numPr>
      </w:pPr>
      <w:r>
        <w:t xml:space="preserve">Soportes de comunicacion enviados.</w:t>
      </w:r>
    </w:p>
    <w:p>
      <w:pPr>
        <w:pStyle w:val="Compact"/>
        <w:numPr>
          <w:ilvl w:val="0"/>
          <w:numId w:val="1010"/>
        </w:numPr>
      </w:pPr>
      <w:r>
        <w:t xml:space="preserve">Acta de cierre del retiro.</w:t>
      </w:r>
    </w:p>
    <w:bookmarkEnd w:id="31"/>
    <w:bookmarkStart w:id="32" w:name="referencias"/>
    <w:p>
      <w:pPr>
        <w:pStyle w:val="Heading2"/>
      </w:pPr>
      <w:r>
        <w:t xml:space="preserve">8. REFERENCIAS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SGC_CALFERQUIM/03_Procedimientos/3.16_Servicio_Cliente_PQR/POE/POE_3.16A_Retiro_Producto_Recall_V1.md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SGC_CALFERQUIM/03_Procedimientos/3.12_Liberacion_Lotes/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SGC_CALFERQUIM/03_Procedimientos/3.13_Muestreo_Control_Calidad/</w:t>
      </w:r>
    </w:p>
    <w:bookmarkEnd w:id="32"/>
    <w:bookmarkStart w:id="33" w:name="nota-de-uso"/>
    <w:p>
      <w:pPr>
        <w:pStyle w:val="Heading2"/>
      </w:pPr>
      <w:r>
        <w:t xml:space="preserve">9. NOTA DE USO</w:t>
      </w:r>
    </w:p>
    <w:p>
      <w:pPr>
        <w:pStyle w:val="FirstParagraph"/>
      </w:pPr>
      <w:r>
        <w:t xml:space="preserve">Este documento es una</w:t>
      </w:r>
      <w:r>
        <w:t xml:space="preserve"> </w:t>
      </w:r>
      <w:r>
        <w:rPr>
          <w:b/>
          <w:bCs/>
        </w:rPr>
        <w:t xml:space="preserve">version rapida operativa</w:t>
      </w:r>
      <w:r>
        <w:t xml:space="preserve"> </w:t>
      </w:r>
      <w:r>
        <w:t xml:space="preserve">para el modulo</w:t>
      </w:r>
      <w:r>
        <w:t xml:space="preserve"> </w:t>
      </w:r>
      <w:r>
        <w:rPr>
          <w:rStyle w:val="VerbatimChar"/>
        </w:rPr>
        <w:t xml:space="preserve">07_Postventa_Servicio_Cliente/02_Retiro_Producto/</w:t>
      </w:r>
      <w:r>
        <w:t xml:space="preserve">. La version tecnica maestra sigue siendo el POE</w:t>
      </w:r>
      <w:r>
        <w:t xml:space="preserve"> </w:t>
      </w:r>
      <w:r>
        <w:rPr>
          <w:rStyle w:val="VerbatimChar"/>
        </w:rPr>
        <w:t xml:space="preserve">3.16A</w:t>
      </w:r>
      <w:r>
        <w:t xml:space="preserve"> </w:t>
      </w:r>
      <w:r>
        <w:t xml:space="preserve">mientras se decide si ambos documentos se unifican.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7">
    <w:abstractNumId w:val="991"/>
  </w:num>
  <w:num w:numId="1008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09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2026-05-24T16:26:41Z</dcterms:created>
  <dcterms:modified xsi:type="dcterms:W3CDTF">2026-05-24T16:26:41Z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