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hdphoto1.wdp" ContentType="image/vnd.ms-photo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Normal"/>
        <w:tblW w:w="9526" w:type="dxa"/>
        <w:jc w:val="start"/>
        <w:tblInd w:w="124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noHBand="0" w:noVBand="0" w:firstColumn="1" w:lastRow="1" w:lastColumn="1" w:firstRow="1"/>
      </w:tblPr>
      <w:tblGrid>
        <w:gridCol w:w="27"/>
        <w:gridCol w:w="2553"/>
        <w:gridCol w:w="493"/>
        <w:gridCol w:w="796"/>
        <w:gridCol w:w="654"/>
        <w:gridCol w:w="4990"/>
        <w:gridCol w:w="13"/>
      </w:tblGrid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1. IDENTIFICACIÓN</w:t>
            </w:r>
            <w:r>
              <w:rPr>
                <w:b/>
                <w:color w:val="FFFFFF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DEL</w:t>
            </w:r>
            <w:r>
              <w:rPr>
                <w:b/>
                <w:color w:val="FFFFFF"/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PRODUCTO</w:t>
            </w:r>
            <w:r>
              <w:rPr>
                <w:b/>
                <w:color w:val="FFFFFF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b/>
                <w:color w:val="FFFFFF"/>
                <w:spacing w:val="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LA EMPRESA</w:t>
            </w:r>
          </w:p>
        </w:tc>
      </w:tr>
      <w:tr>
        <w:trPr>
          <w:trHeight w:val="414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Nombre del Producto: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Formulación Especial Sulfato de Calcio</w:t>
            </w:r>
          </w:p>
        </w:tc>
      </w:tr>
      <w:tr>
        <w:trPr>
          <w:trHeight w:val="532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Tipo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4"/>
                <w:kern w:val="0"/>
                <w:sz w:val="22"/>
                <w:szCs w:val="22"/>
                <w:lang w:eastAsia="en-US" w:bidi="ar-SA"/>
              </w:rPr>
              <w:t xml:space="preserve"> P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roducto: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Acondicionador para aplicación al suelo, fuente de calcio y azufre</w:t>
            </w:r>
          </w:p>
        </w:tc>
      </w:tr>
      <w:tr>
        <w:trPr>
          <w:trHeight w:val="323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Tipo de Formulación: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Polvo</w:t>
            </w:r>
          </w:p>
        </w:tc>
      </w:tr>
      <w:tr>
        <w:trPr>
          <w:trHeight w:val="407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Presentación: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Saco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polipropileno de 50 y 1.000 kilogramos</w:t>
            </w:r>
          </w:p>
        </w:tc>
      </w:tr>
      <w:tr>
        <w:trPr>
          <w:trHeight w:val="272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Número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UN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requiere</w:t>
            </w:r>
          </w:p>
        </w:tc>
      </w:tr>
      <w:tr>
        <w:trPr>
          <w:trHeight w:val="268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Clase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UN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N/A</w:t>
            </w:r>
          </w:p>
        </w:tc>
      </w:tr>
      <w:tr>
        <w:trPr>
          <w:trHeight w:val="268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Nombre</w:t>
            </w:r>
            <w:r>
              <w:rPr>
                <w:b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empresa: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Cales y Fertilizantes Químicos S.A.S - 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CALFERQUIM S.A.S</w:t>
            </w:r>
          </w:p>
        </w:tc>
      </w:tr>
      <w:tr>
        <w:trPr>
          <w:trHeight w:val="272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Dirección: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Calle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8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#3-14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Oficina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803 Edificio Cámara de Comercio de Cali</w:t>
            </w:r>
          </w:p>
        </w:tc>
      </w:tr>
      <w:tr>
        <w:trPr>
          <w:trHeight w:val="267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Teléfono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>s: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(57) (2) 881 64 25 - Celular:322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277</w:t>
            </w:r>
            <w:r>
              <w:rPr>
                <w:spacing w:val="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3866</w:t>
            </w:r>
          </w:p>
        </w:tc>
      </w:tr>
      <w:tr>
        <w:trPr>
          <w:trHeight w:val="272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Correo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Electrónico: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hyperlink r:id="rId2">
              <w:r>
                <w:rPr>
                  <w:rStyle w:val="Hyperlink"/>
                  <w:kern w:val="0"/>
                  <w:sz w:val="22"/>
                  <w:szCs w:val="22"/>
                  <w:lang w:eastAsia="en-US" w:bidi="ar-SA"/>
                </w:rPr>
                <w:t>gorejuela@calferquim.com</w:t>
              </w:r>
            </w:hyperlink>
          </w:p>
        </w:tc>
      </w:tr>
      <w:tr>
        <w:trPr>
          <w:trHeight w:val="267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Ciudad: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Cali – Valle del Cauca</w:t>
            </w:r>
          </w:p>
        </w:tc>
      </w:tr>
      <w:tr>
        <w:trPr>
          <w:trHeight w:val="272" w:hRule="atLeast"/>
        </w:trPr>
        <w:tc>
          <w:tcPr>
            <w:tcW w:w="3869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País: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Colombia</w:t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2.</w:t>
            </w:r>
            <w:r>
              <w:rPr>
                <w:b/>
                <w:color w:val="FFFFFF"/>
                <w:spacing w:val="-3"/>
                <w:kern w:val="0"/>
                <w:sz w:val="22"/>
                <w:szCs w:val="22"/>
                <w:lang w:eastAsia="en-US" w:bidi="ar-SA"/>
              </w:rPr>
              <w:t xml:space="preserve"> IDENTIFICACIÓN DE LOS PELIGROS</w:t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2.1 Clasificación de la Sustancia o de la Mezcla según Sistema Globalmente Armonizado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2.2 Elementos de la Etiqueta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tbl>
            <w:tblPr>
              <w:tblStyle w:val="Tablaconcuadrcula"/>
              <w:tblW w:w="494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2260"/>
              <w:gridCol w:w="141"/>
              <w:gridCol w:w="2547"/>
            </w:tblGrid>
            <w:tr>
              <w:trPr/>
              <w:tc>
                <w:tcPr>
                  <w:tcW w:w="226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ind w:start="-113"/>
                    <w:jc w:val="start"/>
                    <w:rPr>
                      <w:rFonts w:ascii="Calibri" w:hAnsi="Calibri" w:cs="Calibri" w:asciiTheme="minorHAnsi" w:cstheme="minorHAnsi" w:hAnsiTheme="minorHAnsi"/>
                      <w:b/>
                      <w:color w:themeColor="text1" w:val="000000"/>
                    </w:rPr>
                  </w:pPr>
                  <w:r>
                    <w:rPr>
                      <w:rFonts w:cs="Calibri" w:cstheme="minorHAnsi"/>
                      <w:b/>
                      <w:color w:themeColor="text1" w:val="000000"/>
                      <w:kern w:val="0"/>
                      <w:sz w:val="22"/>
                      <w:szCs w:val="22"/>
                      <w:lang w:eastAsia="en-US" w:bidi="ar-SA"/>
                    </w:rPr>
                    <w:t xml:space="preserve">Pictograma: </w:t>
                  </w:r>
                </w:p>
              </w:tc>
              <w:tc>
                <w:tcPr>
                  <w:tcW w:w="2688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kern w:val="0"/>
                      <w:sz w:val="22"/>
                      <w:szCs w:val="22"/>
                      <w:lang w:eastAsia="en-US" w:bidi="ar-SA"/>
                    </w:rPr>
                    <w:drawing>
                      <wp:inline distT="0" distB="0" distL="0" distR="0">
                        <wp:extent cx="628650" cy="704850"/>
                        <wp:effectExtent l="0" t="0" r="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n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8650" cy="7048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/>
              <w:tc>
                <w:tcPr>
                  <w:tcW w:w="2401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ind w:start="-113"/>
                    <w:jc w:val="start"/>
                    <w:rPr>
                      <w:rFonts w:ascii="Calibri" w:hAnsi="Calibri" w:cs="Calibri" w:asciiTheme="minorHAnsi" w:cstheme="minorHAnsi" w:hAnsiTheme="minorHAnsi"/>
                      <w:b/>
                      <w:color w:themeColor="text1" w:val="000000"/>
                    </w:rPr>
                  </w:pPr>
                  <w:r>
                    <w:rPr>
                      <w:rFonts w:cs="Calibri" w:cstheme="minorHAnsi"/>
                      <w:b/>
                      <w:color w:themeColor="text1" w:val="000000"/>
                      <w:kern w:val="0"/>
                      <w:sz w:val="22"/>
                      <w:szCs w:val="22"/>
                      <w:lang w:eastAsia="en-US" w:bidi="ar-SA"/>
                    </w:rPr>
                    <w:t>Palabra de Advertencia:</w:t>
                  </w:r>
                </w:p>
              </w:tc>
              <w:tc>
                <w:tcPr>
                  <w:tcW w:w="2547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rFonts w:ascii="Calibri" w:hAnsi="Calibri" w:cs="Calibri" w:asciiTheme="minorHAnsi" w:cstheme="minorHAnsi" w:hAnsiTheme="minorHAnsi"/>
                      <w:bCs/>
                      <w:color w:themeColor="text1" w:val="000000"/>
                    </w:rPr>
                  </w:pPr>
                  <w:r>
                    <w:rPr>
                      <w:rFonts w:cs="Calibri" w:cstheme="minorHAnsi"/>
                      <w:bCs/>
                      <w:color w:themeColor="text1" w:val="000000"/>
                      <w:kern w:val="0"/>
                      <w:sz w:val="22"/>
                      <w:szCs w:val="22"/>
                      <w:lang w:eastAsia="en-US" w:bidi="ar-SA"/>
                    </w:rPr>
                    <w:t>Atención</w:t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Declaraciones de Peligro: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H303 Puede ser nocivo en caso de ingestión.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H316 Provoca una leve irritación cutánea.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H319 Provoca Irritación ocular grave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>H335 Puede irritar las vías respiratorias.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color w:themeColor="text1" w:val="000000"/>
              </w:rPr>
            </w:pPr>
            <w:r>
              <w:rPr>
                <w:rFonts w:cs="Calibri" w:cstheme="minorHAnsi"/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Consejos de Prudencia: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P260 No respirar polvos. 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P262 Evitar todo contacto con los ojos, la piel o la ropa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P301 + P310 + P331 En caso de ingestión: llamar inmediatamente a un centro de toxicología. No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provocar vómito. 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>P302 + P352   En caso de contacto con la piel, lavar con abundante agua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P304 + P340 + P312 En caso de inhalación, transportar la persona al aire libre y mantenerla en una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posición que le facilite la respiración. Llamar un centro de toxicología o médico si la persona se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>encuentra mal.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P305 + P351 + P338   En caso de contacto con los ojos: Enjuagar con agua cuidadosamente durante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varios minutos. Si es posible quite los lentes de contacto. Proseguir con el lavado 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 xml:space="preserve">P402 Almacenar en un lugar seco 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  <w:lang w:val="es-CO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val="es-CO" w:eastAsia="en-US" w:bidi="ar-SA"/>
              </w:rPr>
              <w:t>P501 Disponer los residuos de acuerdo al manejo integral de residuos peligrosos MIRS.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Cs/>
                <w:color w:themeColor="text1" w:val="000000"/>
              </w:rPr>
            </w:pPr>
            <w:r>
              <w:rPr>
                <w:rFonts w:cs="Calibri" w:cstheme="minorHAnsi"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2.3 Otros Peligros: </w:t>
            </w:r>
            <w:r>
              <w:rPr>
                <w:rFonts w:cs="Calibri" w:cstheme="minorHAnsi"/>
                <w:kern w:val="0"/>
                <w:sz w:val="22"/>
                <w:szCs w:val="22"/>
                <w:lang w:eastAsia="en-US" w:bidi="ar-SA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505" w:leader="none"/>
              </w:tabs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eastAsia="en-US" w:bidi="ar-SA"/>
              </w:rPr>
              <w:tab/>
            </w:r>
          </w:p>
        </w:tc>
      </w:tr>
      <w:tr>
        <w:trPr>
          <w:trHeight w:val="185" w:hRule="atLeast"/>
        </w:trPr>
        <w:tc>
          <w:tcPr>
            <w:tcW w:w="9513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3.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COMPOSICIÓN/INFORMACIÓN SOBRRE LOS INGREDIENTES</w:t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kern w:val="0"/>
                <w:sz w:val="2"/>
                <w:szCs w:val="22"/>
                <w:lang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9513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3.1. Nombre Comercial:  FE 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Sulfato de Calcio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Cs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3.2. Sustancia:</w:t>
            </w:r>
            <w:r>
              <w:rPr>
                <w:bCs/>
                <w:kern w:val="0"/>
                <w:sz w:val="22"/>
                <w:szCs w:val="22"/>
                <w:lang w:eastAsia="en-US" w:bidi="ar-SA"/>
              </w:rPr>
              <w:t xml:space="preserve"> Sulfato de calcio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tbl>
            <w:tblPr>
              <w:tblStyle w:val="Tablaconcuadrcula"/>
              <w:tblW w:w="636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1972"/>
              <w:gridCol w:w="2976"/>
              <w:gridCol w:w="1418"/>
            </w:tblGrid>
            <w:tr>
              <w:trPr/>
              <w:tc>
                <w:tcPr>
                  <w:tcW w:w="197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  <w:t>Calcio Total (CaO)</w:t>
                  </w:r>
                </w:p>
              </w:tc>
              <w:tc>
                <w:tcPr>
                  <w:tcW w:w="297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  <w:t>……………………………………………</w:t>
                  </w:r>
                </w:p>
              </w:tc>
              <w:tc>
                <w:tcPr>
                  <w:tcW w:w="1418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  <w:t>23.0 %</w:t>
                  </w:r>
                </w:p>
              </w:tc>
            </w:tr>
            <w:tr>
              <w:trPr/>
              <w:tc>
                <w:tcPr>
                  <w:tcW w:w="197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  <w:t>Azufre Total (S)</w:t>
                  </w:r>
                </w:p>
              </w:tc>
              <w:tc>
                <w:tcPr>
                  <w:tcW w:w="297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  <w:t>……………………………………………</w:t>
                  </w:r>
                </w:p>
              </w:tc>
              <w:tc>
                <w:tcPr>
                  <w:tcW w:w="1418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  <w:t>9</w:t>
                  </w: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  <w:t>.0 %</w:t>
                  </w:r>
                </w:p>
              </w:tc>
            </w:tr>
            <w:tr>
              <w:trPr/>
              <w:tc>
                <w:tcPr>
                  <w:tcW w:w="197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</w:r>
                </w:p>
              </w:tc>
              <w:tc>
                <w:tcPr>
                  <w:tcW w:w="2976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</w:r>
                </w:p>
              </w:tc>
              <w:tc>
                <w:tcPr>
                  <w:tcW w:w="1418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 w:val="false"/>
                    <w:spacing w:before="0" w:after="0"/>
                    <w:jc w:val="start"/>
                    <w:rPr>
                      <w:b/>
                    </w:rPr>
                  </w:pPr>
                  <w:r>
                    <w:rPr>
                      <w:b/>
                      <w:kern w:val="0"/>
                      <w:sz w:val="22"/>
                      <w:szCs w:val="22"/>
                      <w:lang w:eastAsia="en-US" w:bidi="ar-SA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jc w:val="both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widowControl w:val="fals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kern w:val="0"/>
                <w:sz w:val="2"/>
                <w:szCs w:val="22"/>
                <w:lang w:eastAsia="en-US" w:bidi="ar-SA"/>
              </w:rPr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9499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4. MEDIDAS DE PRIMEROS</w:t>
            </w:r>
            <w:r>
              <w:rPr>
                <w:b/>
                <w:color w:val="FFFFFF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AUXILIOS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9499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center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</w:rPr>
              <w:t>4.1 Descripción de los Primeros Auxilios</w:t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Trasladar la persona afectada a un lugar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abierto y ventilado</w:t>
            </w:r>
            <w:r>
              <w:rPr>
                <w:kern w:val="0"/>
                <w:sz w:val="22"/>
                <w:szCs w:val="22"/>
                <w:lang w:eastAsia="en-US" w:bidi="ar-SA"/>
              </w:rPr>
              <w:t>, lejos del lugar del evento. Verificar que respira sin dificultad, en caso contrario suministrar oxígeno o dar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respiración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artificial. Mantener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persona abrigada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reposo. Si persiste la dificultad respiratoria, buscar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atención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médica inmediata.</w:t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b/>
                <w:bCs/>
              </w:rPr>
              <w:t>Piel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PARA SUMINISTRAR PRIMEROS AUXILIOS SE DEBE CONTAR CON LA PROTECCIÓN INDICADA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Ojos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NO INDUCIR AL VOMITO. Lavar la boca con abundante agua. Si la persona está consciente, dar a beber varios vasos con agua, el vómito puede ocurrir espontáneamente. Nunca dar algo a ingerir por la boca a una persona inconsciente. Si persisten efectos adversos después de la ingestión, buscar atención medica inmediata.</w:t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Síntomas y/o efectos agudos y retardados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A la fecha no se conocen síntomas y efectos </w:t>
            </w:r>
          </w:p>
        </w:tc>
      </w:tr>
      <w:tr>
        <w:trPr>
          <w:trHeight w:val="79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Nota al Médico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Suministrar los primeros auxilios básicos de acuerdo al producto involucrado. Dar tratamiento sintomático.</w:t>
            </w:r>
            <w:bookmarkStart w:id="0" w:name="_Hlk124453306"/>
            <w:bookmarkEnd w:id="0"/>
          </w:p>
        </w:tc>
      </w:tr>
      <w:tr>
        <w:trPr>
          <w:trHeight w:val="272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9499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5. MEDIDAS</w:t>
            </w:r>
            <w:r>
              <w:rPr>
                <w:b/>
                <w:color w:val="FFFFFF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CASO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DE INCENDIOS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Este producto no es inflamable, no  es  explosivo,  no  facilita  la  combustión  de  otros  productos,  los agentes extintores debes seleccionarse de acuerdo al material inflamable o combustible existente en el área.  Como el producto  no  arde,  no  se  generan  humos  y  por  lo  tanto  no  se  considera  peligroso  en  los incendios.  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5.2. Equipo de protección durante la extinción de incendios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Usar el equipo completo de extinción de incendios (Chaqueta, casco, pantalón, guantes y botas de bombero) y el equipo autónomo respiratorio de protección. 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5.3. Peligros específicos derivados de la sustancia o la mezcla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No aplica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Peligros inusuales de incendio y explosión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Ninguno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Productos de combustión peligrosos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395" w:leader="none"/>
              </w:tabs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Puede formar Óxidos de azufre (SOx)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Punto de inflamación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No inflamable</w:t>
            </w:r>
          </w:p>
        </w:tc>
      </w:tr>
      <w:tr>
        <w:trPr>
          <w:trHeight w:val="267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304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Límites de combustión (% en el aire por volumen)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Inferior: No aplica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Superior: No aplica</w:t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FFFFFF"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 xml:space="preserve">                                   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6.</w:t>
            </w:r>
            <w:r>
              <w:rPr>
                <w:b/>
                <w:color w:val="FFFFFF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MEDIDAS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b/>
                <w:color w:val="FFFFFF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CASO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color w:val="FFFFFF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DERRAMES</w:t>
            </w:r>
            <w:r>
              <w:rPr>
                <w:b/>
                <w:color w:val="FFFFFF"/>
                <w:spacing w:val="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ACCIDENTALES</w:t>
            </w:r>
          </w:p>
        </w:tc>
      </w:tr>
      <w:tr>
        <w:trPr>
          <w:trHeight w:val="4599" w:hRule="atLeast"/>
        </w:trPr>
        <w:tc>
          <w:tcPr>
            <w:tcW w:w="27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9499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6.1. Precauciones individuales, equipos de protección y procedimientos de emergencia.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/>
            </w:pPr>
            <w:r>
              <w:rPr/>
              <w:t>- Prohibir la entrada de personal innecesario. Evitar el contacto con el producto y la inhalación del polvo.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6.2. Precauciones medioambientales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/>
            </w:pPr>
            <w:r>
              <w:rPr/>
              <w:t>- Mantener el producto alejado de los desagües y de las aguas superficiales y subterráneas. Retener y eliminar el agua de lavado contaminada.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6.3. Métodos y materiales de contención y limpieza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Consejos sobre la manera de contener un vertido</w:t>
            </w:r>
          </w:p>
          <w:p>
            <w:pPr>
              <w:pStyle w:val="Normal"/>
              <w:rPr/>
            </w:pPr>
            <w:r>
              <w:rPr/>
              <w:t xml:space="preserve">Cierre de desagües. Recoger mecánicamente. 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Indicaciones adecuadas sobre la manera de limpiar un vertido </w:t>
            </w:r>
          </w:p>
          <w:p>
            <w:pPr>
              <w:pStyle w:val="Normal"/>
              <w:rPr/>
            </w:pPr>
            <w:r>
              <w:rPr/>
              <w:t>Recoger mecánicamente.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Otras indicaciones relativas a los vertidos y las fugas </w:t>
            </w:r>
          </w:p>
          <w:p>
            <w:pPr>
              <w:pStyle w:val="Normal"/>
              <w:rPr/>
            </w:pPr>
            <w:r>
              <w:rPr/>
              <w:t>Colocar en recipientes apropiados para su eliminación.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SECCIÓN 7. MANIPULACIÓN Y</w:t>
            </w:r>
            <w:r>
              <w:rPr>
                <w:b/>
                <w:color w:val="FFFFFF"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2"/>
                <w:lang w:eastAsia="en-US" w:bidi="ar-SA"/>
              </w:rPr>
              <w:t>ALMACENAMIENTO</w:t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7.1. Condiciones Generales: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Leer completamente esta hoja de seguridad.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Usar el producto de acuerdo a las indicaciones, recomendaciones y precauciones contenidas en ella.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Conocer de antemano dónde se encuentra el equipo para la atención de emergencias.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Rotular los bloques, estibas o contenedores del producto.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El producto se debe manejar y almacenar en sitios seguros de buena ventilación, pisos de cemento y sistema de mitigación o contención de derrames.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7.2. Condiciones de Manejo seguro</w:t>
            </w:r>
            <w:r>
              <w:rPr>
                <w:kern w:val="0"/>
                <w:sz w:val="22"/>
                <w:szCs w:val="22"/>
                <w:lang w:eastAsia="en-US" w:bidi="ar-SA"/>
              </w:rPr>
              <w:t>: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El producto no está clasificado como peligroso.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Manejar y abrir con mucho cuidado los sitios de almacenamiento del producto (contenedor, bodegas).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- Evitar respirar los vapores o gases del producto.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Manejar el producto en áreas ventiladas adecuadamente.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Durante el manejo del producto no coma, beba o fume.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Usar los elementos de protección personal (guantes de nitrilo, neopreno o PVC, gafas o mascarilla adecuada) durante el manejo del producto.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Evitar el contacto con piel, ojos y ropa.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Evitar el manejo brusco o inadecuado del producto.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No reutilizar los envases vacíos del producto.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Bañarse con agua y jabón después de manejar el producto, no reutilizar la ropa contaminada y lavarla por separado para no contaminar otras prendas. Ponerse ropa limpia.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Evite contaminar las fuentes de aguas superficiales y/o subterráneas cuando limpie el equipo de trabajo o elimine los desechos.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7.3. Condiciones de Almacenamiento seguro, incluidas posibles incompatibilidades: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Mantener fuera del alcance de niños, personas inexpertas y animales domésticos.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Almacenar en lugares lejos de alimentos y bebidas para los seres humanos o animales.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Conservar el producto en su recipiente original, cerrado, etiquetado y en un lugar fresco y seco, protegido del sol y la lluvia, lejos de fuentes de calor o de congelación.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No almacenar con productos corrosivos o explosivos o sustancias incompatibles.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8. CONTROLES</w:t>
            </w:r>
            <w:r>
              <w:rPr>
                <w:b/>
                <w:color w:val="FFFFFF"/>
                <w:spacing w:val="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DE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EXPOSICIÓN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Y</w:t>
            </w:r>
            <w:r>
              <w:rPr>
                <w:b/>
                <w:color w:val="FFFFFF"/>
                <w:spacing w:val="4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PROTECCION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PERSONAL</w:t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8.1 Parámetros de Control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Límites de exposición ocupacional: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lang w:val="es-CO"/>
              </w:rPr>
            </w:pPr>
            <w:r>
              <w:rPr>
                <w:b/>
                <w:bCs/>
                <w:kern w:val="0"/>
                <w:sz w:val="22"/>
                <w:szCs w:val="22"/>
                <w:lang w:val="es-CO" w:eastAsia="en-US" w:bidi="ar-SA"/>
              </w:rPr>
              <w:t>TLV-TWA (ACGIH):</w:t>
            </w:r>
            <w:r>
              <w:rPr>
                <w:kern w:val="0"/>
                <w:sz w:val="22"/>
                <w:szCs w:val="22"/>
                <w:lang w:val="es-CO" w:eastAsia="en-US" w:bidi="ar-SA"/>
              </w:rPr>
              <w:t xml:space="preserve"> 10 mg/m3 polvo total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CMP (Res. MTESS 295/03):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CMP-CPT (Res. MTESS 295/03):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TLV-STEL (ACGIH):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PEL (OSHA 29 CFR 1910.1000):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15 mg/m3 polvo total, 5mg/m3 polvo respirable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IDLH (NIOSH):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PNEC (agua):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PNEC (mar):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PNEC-STP: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disponible.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8.2. Controles de la exposición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8.2.1 Controles Técnicos Apropiados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 Lavarse las manos antes del descanso y después de terminar la jornada laboral.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8.3. Medidas de protección personal para el manejo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Medidas generales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-El uso y manejo adecuado del producto, requiere el equipo de protección individual.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Protección de los ojos y la cara: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Mantener en el área de trabajo un equipo de lavado y enjuague de ojos y cuerpo (lava ojos, regadera).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Protección Respiratoria: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Protección de la piel: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Medidas de precaución después del trabajo: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Lavar cuidadosamente el equipo de protección personal y el equipo utilizado con solución jabonosa.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szCs w:val="24"/>
              </w:rPr>
            </w:pPr>
            <w:r>
              <w:rPr>
                <w:b/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9.</w:t>
            </w:r>
            <w:r>
              <w:rPr>
                <w:b/>
                <w:color w:val="FFFFFF"/>
                <w:spacing w:val="-4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PROPIEDADES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FÍSICAS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Y QUÍMICAS</w:t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  <w:szCs w:val="24"/>
              </w:rPr>
            </w:pPr>
            <w:r>
              <w:rPr>
                <w:b/>
                <w:color w:themeColor="text1" w:val="000000"/>
                <w:kern w:val="0"/>
                <w:sz w:val="22"/>
                <w:szCs w:val="24"/>
                <w:lang w:eastAsia="en-US" w:bidi="ar-SA"/>
              </w:rPr>
              <w:t>9.1 Información Básica sobre las propiedades Física-Químicas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themeColor="text1" w:val="000000"/>
                <w:szCs w:val="24"/>
              </w:rPr>
            </w:pPr>
            <w:r>
              <w:rPr>
                <w:b/>
                <w:color w:themeColor="text1" w:val="000000"/>
                <w:kern w:val="0"/>
                <w:sz w:val="22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Estado Físico: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Polvo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Color: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Grisáceo - Amarillo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Olor: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Característico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Umbral olfativo: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pH: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Punto de fusión: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Punto de ebullición: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Tasa de evaporación: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Punto de inflamación: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inflamable Ni combustible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Velocidad de evaporación: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Inflamabilidad (sólido/gas):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Inflamable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Límite superior/inferior de inflamabilidad o de posible explosión: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Presión de vapor: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Densidad: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Densidad de vapor: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Densidad relativa: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Solubilidad en agua (20 </w:t>
            </w:r>
            <w:r>
              <w:rPr>
                <w:b/>
                <w:bCs/>
                <w:kern w:val="0"/>
                <w:sz w:val="22"/>
                <w:szCs w:val="22"/>
                <w:vertAlign w:val="superscript"/>
                <w:lang w:eastAsia="en-US" w:bidi="ar-SA"/>
              </w:rPr>
              <w:t>0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leve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Coeficiente de reparto n-octanol/agua: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Temperatura de autoignición: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Temperatura de descomposición: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&gt;1450 °C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Viscosidad Cinemática: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aplica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% de volátiles: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Propiedades Explosivas</w:t>
            </w:r>
            <w:r>
              <w:rPr>
                <w:kern w:val="0"/>
                <w:sz w:val="22"/>
                <w:szCs w:val="22"/>
                <w:lang w:eastAsia="en-US" w:bidi="ar-SA"/>
              </w:rPr>
              <w:t>: No explosiva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9.2 Otra información adicional de seguridad: </w:t>
            </w:r>
            <w:r>
              <w:rPr>
                <w:kern w:val="0"/>
                <w:sz w:val="22"/>
                <w:szCs w:val="22"/>
                <w:lang w:eastAsia="en-US" w:bidi="ar-SA"/>
              </w:rPr>
              <w:t>Ninguna conocida.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FFFFFF"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10.</w:t>
            </w:r>
            <w:r>
              <w:rPr>
                <w:b/>
                <w:color w:val="FFFFFF"/>
                <w:spacing w:val="-1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ESTABILIDAD</w:t>
            </w:r>
            <w:r>
              <w:rPr>
                <w:b/>
                <w:color w:val="FFFFFF"/>
                <w:spacing w:val="-7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Y</w:t>
            </w:r>
            <w:r>
              <w:rPr>
                <w:b/>
                <w:color w:val="FFFFFF"/>
                <w:spacing w:val="1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REACTIVIDAD</w:t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10.1 Estabilidad química: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Químicamente estable bajo condiciones normales de manejo o almacenamiento. Higroscópico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10.2 Reactividad: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reactivo bajo condiciones normales de manejo o almacenamiento.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10.3 Incompatibilidad: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Sin información.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10.4 Productos de descomposición peligrosos: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Ninguno conocido bajo condiciones normales. La exposición a altas temperatura de este producto puede producir gases tóxicos por descomposición térmica (véase sección 5.3).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10.5 Polimerización peligrosa: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polimeriza.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10.6 Condiciones a evitar: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Contacto con ácidos fuertes.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10.7 Materiales a evitar: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Ninguno conocido.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color w:val="FFFFFF"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11. INFORMACIÓN TOXICOLÓGICA</w:t>
            </w:r>
          </w:p>
        </w:tc>
      </w:tr>
      <w:tr>
        <w:trPr>
          <w:trHeight w:val="169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aguda: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DL</w:t>
            </w:r>
            <w:r>
              <w:rPr>
                <w:kern w:val="0"/>
                <w:sz w:val="22"/>
                <w:szCs w:val="22"/>
                <w:vertAlign w:val="subscript"/>
                <w:lang w:eastAsia="en-US" w:bidi="ar-SA"/>
              </w:rPr>
              <w:t>50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: No se dispone de datos.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dérmica: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DL50: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por inhalación: CL50: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Sensibilización respiratoria o cutánea: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Irritación de los ojos: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Irritación de la piel: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Levemente irritante en contacto permanente sin la protección adecuada.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Sensibilización de la piel: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sub-crónica: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Toxicidad crónica: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conocen efectos carcinogénicos, ni mutagénicos, ni teratogénico, ni toxicidad reproductiva, ni para las materias primas empleadas ni para el producto aquí descrito.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Carcinogenicidad: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carcinógeno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Mutagenicidad: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mutágeno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Neurotoxicidad: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12. INFORMACION ECOLÓGICA</w:t>
            </w:r>
          </w:p>
        </w:tc>
      </w:tr>
      <w:tr>
        <w:trPr>
          <w:trHeight w:val="169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12.1 Ecotoxicidad (acuática y terrestre):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12.2 Persistencia y degradabilidad: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12.3 Potencial de bioacumulación: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12.4 Movilidad en suelo: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12.5 Resultados de la valoración PBT y mPmB: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12.6 Otros efectos adversos: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No se dispone de datos.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13.</w:t>
            </w:r>
            <w:r>
              <w:rPr>
                <w:b/>
                <w:color w:val="FFFFFF"/>
                <w:spacing w:val="-2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CONSIDERACIONES</w:t>
            </w:r>
            <w:r>
              <w:rPr>
                <w:b/>
                <w:color w:val="FFFFFF"/>
                <w:spacing w:val="-1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Y DISPOSICIONES PARA DESECHO</w:t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Información sobre gestión de desechos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Eliminación de los desechos contaminados: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Envases y embalajes rígidos: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Realice el procedimiento triple lavado de envases, vertiendo el agua en el depósito del pulverizador. Perfore y recicle el envase para evitar su reutilización.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Bolsas, sacos, envases y embalajes flexibles: </w:t>
            </w:r>
            <w:r>
              <w:rPr>
                <w:kern w:val="0"/>
                <w:sz w:val="22"/>
                <w:szCs w:val="22"/>
                <w:lang w:eastAsia="en-US" w:bidi="ar-SA"/>
              </w:rPr>
              <w:t>Doblar el material contaminado por mitades hasta donde sea posible, colocarlo en bolsa transparente y rotulado para posterior disposición a un centro de acopio de residuos o entregarlos una empresa especializada y autorizada en manejo de residuos.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14. INFORMACIÓN SOBRE EL TRANSPORTE</w:t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kern w:val="0"/>
                <w:sz w:val="21"/>
                <w:szCs w:val="22"/>
                <w:lang w:eastAsia="en-US" w:bidi="ar-SA"/>
              </w:rPr>
              <w:t>- ESTE PRODUCTO NO ES PELIGROSO NI REPRESENTA RESTRICCIÓN ALGUNA PARA SU TRANSPORTE</w:t>
            </w:r>
            <w:r>
              <w:rPr>
                <w:spacing w:val="-5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(terrestre,</w:t>
            </w:r>
            <w:r>
              <w:rPr>
                <w:spacing w:val="-5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fluvial,</w:t>
            </w:r>
            <w:r>
              <w:rPr>
                <w:spacing w:val="-5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marítimo</w:t>
            </w:r>
            <w:r>
              <w:rPr>
                <w:spacing w:val="-7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o</w:t>
            </w:r>
            <w:r>
              <w:rPr>
                <w:spacing w:val="-4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1"/>
                <w:szCs w:val="22"/>
                <w:lang w:eastAsia="en-US" w:bidi="ar-SA"/>
              </w:rPr>
              <w:t>aéreo).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14.1. Transporte Terrestre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Nombre apropiado para el transporte</w:t>
            </w:r>
            <w:r>
              <w:rPr>
                <w:kern w:val="0"/>
                <w:sz w:val="21"/>
                <w:szCs w:val="22"/>
                <w:lang w:eastAsia="en-US" w:bidi="ar-SA"/>
              </w:rPr>
              <w:t>: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</w:t>
            </w:r>
            <w:r>
              <w:rPr>
                <w:b/>
                <w:bCs/>
                <w:kern w:val="0"/>
                <w:sz w:val="21"/>
                <w:szCs w:val="22"/>
                <w:vertAlign w:val="superscript"/>
                <w:lang w:eastAsia="en-US" w:bidi="ar-SA"/>
              </w:rPr>
              <w:t>o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 UN/ID: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Clase de peligro: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Grupo de embalaje: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Código de riesgo: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14.2. Transporte aéreo (ICAO/IATA)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Nombre apropiado para el Embarque</w:t>
            </w:r>
            <w:r>
              <w:rPr>
                <w:kern w:val="0"/>
                <w:sz w:val="21"/>
                <w:szCs w:val="22"/>
                <w:lang w:eastAsia="en-US" w:bidi="ar-SA"/>
              </w:rPr>
              <w:t>: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</w:t>
            </w:r>
            <w:r>
              <w:rPr>
                <w:b/>
                <w:bCs/>
                <w:kern w:val="0"/>
                <w:sz w:val="21"/>
                <w:szCs w:val="22"/>
                <w:vertAlign w:val="superscript"/>
                <w:lang w:eastAsia="en-US" w:bidi="ar-SA"/>
              </w:rPr>
              <w:t>o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 UN/ID: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Clase de peligro: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Grupo de embalaje: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Código de riesgo: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Instrucciones para aviones de pasajeros y carga:</w:t>
            </w:r>
            <w:r>
              <w:rPr>
                <w:kern w:val="0"/>
                <w:sz w:val="21"/>
                <w:szCs w:val="22"/>
                <w:lang w:eastAsia="en-US" w:bidi="ar-SA"/>
              </w:rPr>
              <w:t xml:space="preserve">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Instrucciones para aviones de carga:</w:t>
            </w:r>
            <w:r>
              <w:rPr>
                <w:kern w:val="0"/>
                <w:sz w:val="21"/>
                <w:szCs w:val="22"/>
                <w:lang w:eastAsia="en-US" w:bidi="ar-SA"/>
              </w:rPr>
              <w:t xml:space="preserve">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CRE:</w:t>
            </w:r>
            <w:r>
              <w:rPr>
                <w:kern w:val="0"/>
                <w:sz w:val="21"/>
                <w:szCs w:val="22"/>
                <w:lang w:eastAsia="en-US" w:bidi="ar-SA"/>
              </w:rPr>
              <w:t xml:space="preserve">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14.3. Transporte Marítimo (IMO)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Nombre apropiado para el transporte</w:t>
            </w:r>
            <w:r>
              <w:rPr>
                <w:kern w:val="0"/>
                <w:sz w:val="21"/>
                <w:szCs w:val="22"/>
                <w:lang w:eastAsia="en-US" w:bidi="ar-SA"/>
              </w:rPr>
              <w:t>: 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N</w:t>
            </w:r>
            <w:r>
              <w:rPr>
                <w:b/>
                <w:bCs/>
                <w:kern w:val="0"/>
                <w:sz w:val="21"/>
                <w:szCs w:val="22"/>
                <w:vertAlign w:val="superscript"/>
                <w:lang w:eastAsia="en-US" w:bidi="ar-SA"/>
              </w:rPr>
              <w:t>o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 UN/ID: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Clase de peligro: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Grupo de embalaje: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EMS: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Estiba y Segregación: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 APLICA RESTRICCIÓN ALGUNA PARA SU TRANSPORTE.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Contaminante Marino: </w:t>
            </w:r>
            <w:r>
              <w:rPr>
                <w:kern w:val="0"/>
                <w:sz w:val="21"/>
                <w:szCs w:val="22"/>
                <w:lang w:eastAsia="en-US" w:bidi="ar-SA"/>
              </w:rPr>
              <w:t>NO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Nombre para la documentación de transporte: </w:t>
            </w:r>
            <w:r>
              <w:rPr>
                <w:kern w:val="0"/>
                <w:sz w:val="21"/>
                <w:szCs w:val="22"/>
                <w:lang w:eastAsia="en-US" w:bidi="ar-SA"/>
              </w:rPr>
              <w:t>CLASIFICADO COMO PRODUCTO NO PELIGROSO.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15.</w:t>
            </w:r>
            <w:r>
              <w:rPr>
                <w:b/>
                <w:color w:val="FFFFFF"/>
                <w:spacing w:val="-1"/>
                <w:kern w:val="0"/>
                <w:sz w:val="22"/>
                <w:szCs w:val="24"/>
                <w:lang w:eastAsia="en-US" w:bidi="ar-SA"/>
              </w:rPr>
              <w:t xml:space="preserve"> </w:t>
            </w: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INFORMACIÓN REGLAMENTARIA</w:t>
            </w:r>
            <w:r>
              <w:rPr>
                <w:b/>
                <w:color w:val="FFFFFF"/>
                <w:spacing w:val="-5"/>
                <w:kern w:val="0"/>
                <w:sz w:val="22"/>
                <w:szCs w:val="24"/>
                <w:lang w:eastAsia="en-US" w:bidi="ar-SA"/>
              </w:rPr>
              <w:t xml:space="preserve"> </w:t>
            </w:r>
          </w:p>
        </w:tc>
      </w:tr>
      <w:tr>
        <w:trPr>
          <w:trHeight w:val="464" w:hRule="atLeast"/>
        </w:trPr>
        <w:tc>
          <w:tcPr>
            <w:tcW w:w="25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NTC 4435 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(1998-07-22)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</w:tc>
        <w:tc>
          <w:tcPr>
            <w:tcW w:w="694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NORMA TECNICA COLOMBIANA – ICONTEC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Transporte de Mercancías. Hoja de Seguridad para Materiales. Preparación.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376" w:hRule="atLeast"/>
        </w:trPr>
        <w:tc>
          <w:tcPr>
            <w:tcW w:w="25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 xml:space="preserve">Ley 9 de 1979 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artículo 130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(Y demás modificaciones)</w:t>
            </w:r>
          </w:p>
        </w:tc>
        <w:tc>
          <w:tcPr>
            <w:tcW w:w="694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MINISTERIO DE SALUD DE COLOMBIA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>
        <w:trPr>
          <w:trHeight w:val="376" w:hRule="atLeast"/>
        </w:trPr>
        <w:tc>
          <w:tcPr>
            <w:tcW w:w="25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Ley 55 de 1993</w:t>
            </w:r>
          </w:p>
        </w:tc>
        <w:tc>
          <w:tcPr>
            <w:tcW w:w="694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EL CONGRESO DE LA REPUBLICA DE COLOMBIA – CONVENIO CON OIT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Seguridad en la utilización de los productos químicos en el trabajo y Obligaciones de los proveedores de suministrar las fichas técnicas u hojas de seguridad.</w:t>
            </w:r>
          </w:p>
        </w:tc>
      </w:tr>
      <w:tr>
        <w:trPr>
          <w:trHeight w:val="376" w:hRule="atLeast"/>
        </w:trPr>
        <w:tc>
          <w:tcPr>
            <w:tcW w:w="25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Decreto 1076/2015 título 6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(Y demás modificaciones)</w:t>
            </w:r>
          </w:p>
        </w:tc>
        <w:tc>
          <w:tcPr>
            <w:tcW w:w="694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SECTOR AMBIENTE Y DESARROLLO SOSTENIBLE – REPUBLICA DE COLOMBIA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Reglamentación parcial para la prevención y el manejo de los residuos o desechos peligrosos generados en el marco de la gestión integral.</w:t>
            </w:r>
          </w:p>
        </w:tc>
      </w:tr>
      <w:tr>
        <w:trPr>
          <w:trHeight w:val="376" w:hRule="atLeast"/>
        </w:trPr>
        <w:tc>
          <w:tcPr>
            <w:tcW w:w="25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Decreto 1079/2015 Sección 8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(Y demás modificaciones)</w:t>
            </w:r>
          </w:p>
        </w:tc>
        <w:tc>
          <w:tcPr>
            <w:tcW w:w="694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MINISTERIO DE TRANSPORTE DE COLOMBIA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Transporte terrestre automotor de mercancías peligrosas por carretera.</w:t>
            </w:r>
          </w:p>
        </w:tc>
      </w:tr>
      <w:tr>
        <w:trPr>
          <w:trHeight w:val="376" w:hRule="atLeast"/>
        </w:trPr>
        <w:tc>
          <w:tcPr>
            <w:tcW w:w="25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Decreto</w:t>
            </w:r>
            <w:r>
              <w:rPr>
                <w:b/>
                <w:bCs/>
                <w:spacing w:val="1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1344</w:t>
            </w:r>
            <w:r>
              <w:rPr>
                <w:b/>
                <w:bCs/>
                <w:spacing w:val="2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de</w:t>
            </w:r>
            <w:r>
              <w:rPr>
                <w:b/>
                <w:bCs/>
                <w:spacing w:val="-1"/>
                <w:kern w:val="0"/>
                <w:sz w:val="21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1970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0"/>
                <w:szCs w:val="20"/>
                <w:lang w:eastAsia="en-US" w:bidi="ar-SA"/>
              </w:rPr>
              <w:t>Derogado por ley 769 de 2002</w:t>
            </w:r>
          </w:p>
        </w:tc>
        <w:tc>
          <w:tcPr>
            <w:tcW w:w="694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CODIGO NACIONAL DE TRANSITO TERRESTRE DE COLOMBIA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Medidas de protección, higiene y seguridad para transportar cargas.</w:t>
            </w:r>
          </w:p>
        </w:tc>
      </w:tr>
      <w:tr>
        <w:trPr>
          <w:trHeight w:val="376" w:hRule="atLeast"/>
        </w:trPr>
        <w:tc>
          <w:tcPr>
            <w:tcW w:w="258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SGA 2015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kern w:val="0"/>
                <w:sz w:val="21"/>
                <w:szCs w:val="22"/>
                <w:lang w:eastAsia="en-US" w:bidi="ar-SA"/>
              </w:rPr>
              <w:t>Sexta edición revisada</w:t>
            </w:r>
          </w:p>
        </w:tc>
        <w:tc>
          <w:tcPr>
            <w:tcW w:w="6946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SISTEMA GLOBALMENTE ARMONIZADO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  <w:t>Clasificación y etiquetado de productos químicos.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szCs w:val="24"/>
              </w:rPr>
            </w:pPr>
            <w:r>
              <w:rPr>
                <w:kern w:val="0"/>
                <w:sz w:val="22"/>
                <w:szCs w:val="24"/>
                <w:lang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385522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kern w:val="0"/>
                <w:sz w:val="22"/>
                <w:szCs w:val="24"/>
                <w:lang w:eastAsia="en-US" w:bidi="ar-SA"/>
              </w:rPr>
              <w:t>SECCIÓN 16. OTRAS INFORMACIONES</w:t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16.1 Abreviaturas y acrónimos relacionados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N/A: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No aplica.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TLV: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Valor Limite Umbral.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N/D: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Sin información disponible.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TWA: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Media Ponderada en el Tiempo.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CAS: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Servicio de Resúmenes Químicos.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STEL: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Limite de Exposición de Corta Duración.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IARC: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Agencia Internacional para la investigación del cáncer.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  <w:lang w:val="en-US"/>
              </w:rPr>
            </w:pPr>
            <w:r>
              <w:rPr>
                <w:b/>
                <w:bCs/>
                <w:kern w:val="0"/>
                <w:sz w:val="22"/>
                <w:szCs w:val="24"/>
                <w:lang w:val="en-US" w:eastAsia="en-US" w:bidi="ar-SA"/>
              </w:rPr>
              <w:t>ACGIH:</w:t>
            </w:r>
            <w:r>
              <w:rPr>
                <w:kern w:val="0"/>
                <w:sz w:val="22"/>
                <w:szCs w:val="24"/>
                <w:lang w:val="en-US" w:eastAsia="en-US" w:bidi="ar-SA"/>
              </w:rPr>
              <w:t xml:space="preserve"> American Conference of Governmental Industrial Hygienists.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PEL</w:t>
            </w:r>
            <w:r>
              <w:rPr>
                <w:kern w:val="0"/>
                <w:sz w:val="22"/>
                <w:szCs w:val="24"/>
                <w:lang w:eastAsia="en-US" w:bidi="ar-SA"/>
              </w:rPr>
              <w:t>: Límite de Exposición Permitido.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REL: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Limite de Exposición Recomendada.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INSHT: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Instituto Nacional de Seguridad e Higiene del Trabajo.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CL</w:t>
            </w:r>
            <w:r>
              <w:rPr>
                <w:b/>
                <w:bCs/>
                <w:kern w:val="0"/>
                <w:sz w:val="22"/>
                <w:szCs w:val="24"/>
                <w:vertAlign w:val="subscript"/>
                <w:lang w:eastAsia="en-US" w:bidi="ar-SA"/>
              </w:rPr>
              <w:t>50</w:t>
            </w: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Concentración Letal Media.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ETA: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Estimación de la Toxicidad Aguda.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CE</w:t>
            </w:r>
            <w:r>
              <w:rPr>
                <w:b/>
                <w:bCs/>
                <w:kern w:val="0"/>
                <w:sz w:val="22"/>
                <w:szCs w:val="24"/>
                <w:vertAlign w:val="subscript"/>
                <w:lang w:eastAsia="en-US" w:bidi="ar-SA"/>
              </w:rPr>
              <w:t>50</w:t>
            </w: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Concentración Efectiva Media.</w:t>
            </w:r>
          </w:p>
        </w:tc>
      </w:tr>
      <w:tr>
        <w:trPr>
          <w:trHeight w:val="376" w:hRule="atLeast"/>
        </w:trPr>
        <w:tc>
          <w:tcPr>
            <w:tcW w:w="452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DL</w:t>
            </w:r>
            <w:r>
              <w:rPr>
                <w:b/>
                <w:bCs/>
                <w:kern w:val="0"/>
                <w:sz w:val="22"/>
                <w:szCs w:val="24"/>
                <w:vertAlign w:val="subscript"/>
                <w:lang w:eastAsia="en-US" w:bidi="ar-SA"/>
              </w:rPr>
              <w:t>50</w:t>
            </w: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Dosis Letal Media</w:t>
            </w:r>
          </w:p>
        </w:tc>
        <w:tc>
          <w:tcPr>
            <w:tcW w:w="500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Cs w:val="24"/>
              </w:rPr>
            </w:pP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CI</w:t>
            </w:r>
            <w:r>
              <w:rPr>
                <w:b/>
                <w:bCs/>
                <w:kern w:val="0"/>
                <w:sz w:val="22"/>
                <w:szCs w:val="24"/>
                <w:vertAlign w:val="subscript"/>
                <w:lang w:eastAsia="en-US" w:bidi="ar-SA"/>
              </w:rPr>
              <w:t>50</w:t>
            </w:r>
            <w:r>
              <w:rPr>
                <w:b/>
                <w:bCs/>
                <w:kern w:val="0"/>
                <w:sz w:val="22"/>
                <w:szCs w:val="24"/>
                <w:lang w:eastAsia="en-US" w:bidi="ar-SA"/>
              </w:rPr>
              <w:t>:</w:t>
            </w:r>
            <w:r>
              <w:rPr>
                <w:kern w:val="0"/>
                <w:sz w:val="22"/>
                <w:szCs w:val="24"/>
                <w:lang w:eastAsia="en-US" w:bidi="ar-SA"/>
              </w:rPr>
              <w:t xml:space="preserve"> Concentración Inhibitoria Media</w:t>
            </w:r>
            <w:bookmarkStart w:id="1" w:name="_Hlk124450478"/>
            <w:bookmarkEnd w:id="1"/>
          </w:p>
        </w:tc>
      </w:tr>
      <w:tr>
        <w:trPr>
          <w:trHeight w:val="376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Escala de riesgos de la NFPA 704: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</w:rPr>
            </w:pPr>
            <w:r>
              <mc:AlternateContent>
                <mc:Choice Requires="wps">
                  <w:drawing>
                    <wp:anchor distT="0" distB="0" distL="0" distR="0" simplePos="0" relativeHeight="30" behindDoc="0" locked="0" layoutInCell="1" allowOverlap="1" wp14:anchorId="4661636A">
                      <wp:simplePos x="0" y="0"/>
                      <wp:positionH relativeFrom="column">
                        <wp:posOffset>2210435</wp:posOffset>
                      </wp:positionH>
                      <wp:positionV relativeFrom="paragraph">
                        <wp:posOffset>591820</wp:posOffset>
                      </wp:positionV>
                      <wp:extent cx="266700" cy="353060"/>
                      <wp:effectExtent l="0" t="0" r="0" b="0"/>
                      <wp:wrapNone/>
                      <wp:docPr id="2" name="Cuadro de texto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353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anchor="t">
                              <a:spAutoFit/>
                            </wps:bodyPr>
                          </wps:wsp>
                        </a:graphicData>
                      </a:graphic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rect id="shape_0" fillcolor="blue" stroked="f" o:allowincell="t" style="position:absolute;margin-left:174.05pt;margin-top:46.6pt;width:20.95pt;height:27.75pt;mso-wrap-style:square;v-text-anchor:top" wp14:anchorId="4661636A">
                      <v:fill o:detectmouseclick="t" type="solid" color2="yellow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                                        </w:t>
            </w:r>
            <w:r>
              <w:rPr>
                <w:kern w:val="0"/>
                <w:sz w:val="22"/>
                <w:szCs w:val="22"/>
                <w:lang w:eastAsia="en-US" w:bidi="ar-SA"/>
              </w:rPr>
              <w:object>
                <v:shapetype id="_x0000_tole_rId4" coordsize="21600,21600" o:spt="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" type="_x0000_tole_rId4" style="width:255.7pt;height:129.75pt;mso-wrap-distance-right:0pt" filled="f" o:ole="">
                  <v:imagedata r:id="rId5" o:title=""/>
                </v:shape>
                <o:OLEObject Type="Embed" ProgID="PBrush" ShapeID="ole_rId4" DrawAspect="Content" ObjectID="_1982143931" r:id="rId4"/>
              </w:objec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Clase UN (Naciones Unidas):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N/A.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/>
                <w:color w:themeColor="text1" w:val="000000"/>
                <w:w w:val="105"/>
                <w:sz w:val="18"/>
              </w:rPr>
            </w:pPr>
            <w:r>
              <w:rPr>
                <w:rFonts w:ascii="Arial" w:hAnsi="Arial"/>
                <w:color w:themeColor="text1" w:val="000000"/>
                <w:w w:val="105"/>
                <w:kern w:val="0"/>
                <w:sz w:val="18"/>
                <w:szCs w:val="22"/>
                <w:lang w:eastAsia="en-US" w:bidi="ar-SA"/>
              </w:rPr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16.2 Exención de responsabilidad</w:t>
            </w:r>
          </w:p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0"/>
                <w:szCs w:val="20"/>
                <w:lang w:eastAsia="en-US" w:bidi="ar-SA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</w:tc>
      </w:tr>
      <w:tr>
        <w:trPr>
          <w:trHeight w:val="376" w:hRule="atLeast"/>
        </w:trPr>
        <w:tc>
          <w:tcPr>
            <w:tcW w:w="952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color w:themeColor="text1" w:val="000000"/>
                <w:sz w:val="18"/>
                <w:szCs w:val="18"/>
              </w:rPr>
            </w:pPr>
            <w:r>
              <w:rPr>
                <w:b/>
                <w:bCs/>
                <w:color w:themeColor="text1" w:val="000000"/>
                <w:kern w:val="0"/>
                <w:sz w:val="18"/>
                <w:szCs w:val="18"/>
                <w:lang w:eastAsia="en-US" w:bidi="ar-SA"/>
              </w:rPr>
              <w:t xml:space="preserve">Diciembre 21 de 2022: Se crea la Hoja de seguridad </w:t>
            </w: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 xml:space="preserve">FE Sulfato de Calcio </w:t>
            </w:r>
            <w:r>
              <w:rPr>
                <w:b/>
                <w:bCs/>
                <w:color w:themeColor="text1" w:val="000000"/>
                <w:kern w:val="0"/>
                <w:sz w:val="18"/>
                <w:szCs w:val="18"/>
                <w:lang w:eastAsia="en-US" w:bidi="ar-SA"/>
              </w:rPr>
              <w:t xml:space="preserve"> según el Sistema Globalmente Armonizado.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1100" w:right="1338" w:gutter="0" w:header="851" w:top="1701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4a0" w:noHBand="0" w:noVBand="1" w:firstColumn="1" w:lastRow="0" w:lastColumn="0" w:firstRow="1"/>
    </w:tblPr>
    <w:tblGrid>
      <w:gridCol w:w="9802"/>
    </w:tblGrid>
    <w:tr>
      <w:trPr>
        <w:trHeight w:val="20" w:hRule="atLeast"/>
      </w:trPr>
      <w:tc>
        <w:tcPr>
          <w:tcW w:w="9802" w:type="dxa"/>
          <w:tcBorders/>
          <w:shd w:color="auto" w:fill="auto" w:val="clear"/>
          <w:vAlign w:val="center"/>
        </w:tcPr>
        <w:p>
          <w:pPr>
            <w:pStyle w:val="Normal"/>
            <w:rPr/>
          </w:pPr>
          <w:r>
            <w:rPr/>
            <mc:AlternateContent>
              <mc:Choice Requires="wps">
                <w:drawing>
                  <wp:anchor distT="0" distB="0" distL="0" distR="8890" simplePos="0" relativeHeight="28" behindDoc="1" locked="0" layoutInCell="1" allowOverlap="1" wp14:anchorId="2806D0A1">
                    <wp:simplePos x="0" y="0"/>
                    <wp:positionH relativeFrom="column">
                      <wp:posOffset>4504690</wp:posOffset>
                    </wp:positionH>
                    <wp:positionV relativeFrom="margin">
                      <wp:posOffset>19050</wp:posOffset>
                    </wp:positionV>
                    <wp:extent cx="1514475" cy="194945"/>
                    <wp:effectExtent l="635" t="635" r="0" b="0"/>
                    <wp:wrapNone/>
                    <wp:docPr id="3" name="Cuadro de texto 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14520" cy="195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rameContents"/>
                                  <w:rPr>
                                    <w:rFonts w:ascii="Segoe UI" w:hAnsi="Segoe UI" w:cs="Segoe UI"/>
                                    <w:b/>
                                    <w:bCs/>
                                    <w:lang w:val="es-CO"/>
                                  </w:rPr>
                                </w:pPr>
                                <w:r>
                                  <w:rPr>
                                    <w:rFonts w:cs="Segoe UI" w:ascii="Segoe UI" w:hAnsi="Segoe UI"/>
                                    <w:b/>
                                    <w:bCs/>
                                    <w:lang w:val="es-CO"/>
                                  </w:rPr>
                                </w:r>
                              </w:p>
                            </w:txbxContent>
                          </wps:txbx>
                          <wps:bodyPr lIns="17640" tIns="17640" rIns="17640" bIns="17640" anchor="t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stroked="f" o:allowincell="t" style="position:absolute;margin-left:354.7pt;margin-top:1.5pt;width:119.2pt;height:15.3pt;mso-wrap-style:none;v-text-anchor:middle;mso-position-vertical-relative:margin" wp14:anchorId="2806D0A1">
                    <v:fill o:detectmouseclick="t" on="false"/>
                    <v:stroke color="#3465a4" weight="9360" joinstyle="miter" endcap="flat"/>
                    <v:textbox>
                      <w:txbxContent>
                        <w:p>
                          <w:pPr>
                            <w:pStyle w:val="FrameContents"/>
                            <w:rPr>
                              <w:rFonts w:ascii="Segoe UI" w:hAnsi="Segoe UI" w:cs="Segoe UI"/>
                              <w:b/>
                              <w:bCs/>
                              <w:lang w:val="es-CO"/>
                            </w:rPr>
                          </w:pPr>
                          <w:r>
                            <w:rPr>
                              <w:rFonts w:cs="Segoe UI" w:ascii="Segoe UI" w:hAnsi="Segoe UI"/>
                              <w:b/>
                              <w:bCs/>
                              <w:lang w:val="es-CO"/>
                            </w:rPr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tc>
    </w:tr>
    <w:tr>
      <w:trPr>
        <w:trHeight w:val="20" w:hRule="atLeast"/>
      </w:trPr>
      <w:tc>
        <w:tcPr>
          <w:tcW w:w="9802" w:type="dxa"/>
          <w:tcBorders/>
          <w:shd w:color="auto" w:fill="auto" w:val="clear"/>
          <w:vAlign w:val="center"/>
        </w:tcPr>
        <w:p>
          <w:pPr>
            <w:pStyle w:val="Normal"/>
            <w:jc w:val="center"/>
            <w:rPr>
              <w:rFonts w:ascii="Segoe UI" w:hAnsi="Segoe UI" w:eastAsia="Times New Roman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mc:AlternateContent>
              <mc:Choice Requires="wps">
                <w:drawing>
                  <wp:anchor distT="0" distB="8890" distL="0" distR="0" simplePos="0" relativeHeight="11" behindDoc="1" locked="0" layoutInCell="1" allowOverlap="1" wp14:anchorId="14B0E230">
                    <wp:simplePos x="0" y="0"/>
                    <wp:positionH relativeFrom="page">
                      <wp:posOffset>130810</wp:posOffset>
                    </wp:positionH>
                    <wp:positionV relativeFrom="margin">
                      <wp:posOffset>-159385</wp:posOffset>
                    </wp:positionV>
                    <wp:extent cx="1036320" cy="600710"/>
                    <wp:effectExtent l="0" t="0" r="0" b="8890"/>
                    <wp:wrapNone/>
                    <wp:docPr id="4" name="Imagen 6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Imagen 61"/>
                            <pic:cNvPicPr/>
                          </pic:nvPicPr>
                          <pic:blipFill>
                            <a:blip r:embed="rId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 l="3588" t="0" r="0" b="0"/>
                            <a:stretch/>
                          </pic:blipFill>
                          <pic:spPr>
                            <a:xfrm>
                              <a:off x="0" y="0"/>
                              <a:ext cx="1036440" cy="600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t" style="position:absolute;margin-left:10.3pt;margin-top:-12.55pt;width:81.55pt;height:47.25pt;mso-wrap-style:none;v-text-anchor:middle;mso-position-horizontal-relative:page;mso-position-vertical-relative:margin" wp14:anchorId="14B0E230" type="_x0000_t75">
                    <v:imagedata r:id="rId3" o:detectmouseclick="t"/>
                    <v:stroke color="#3465a4" joinstyle="round" endcap="flat"/>
                    <w10:wrap type="none"/>
                  </v:shape>
                </w:pict>
              </mc:Fallback>
            </mc:AlternateContent>
          </w:r>
          <w:r>
            <w:rPr>
              <w:rFonts w:eastAsia="Times New Roman" w:cs="Segoe UI" w:ascii="Segoe UI" w:hAnsi="Segoe UI"/>
              <w:b/>
              <w:bCs/>
              <w:color w:val="000000"/>
              <w:sz w:val="48"/>
              <w:szCs w:val="48"/>
              <w:lang w:eastAsia="es-CO"/>
            </w:rPr>
            <w:t>FE SULFATO DE CALCIO</w:t>
          </w:r>
        </w:p>
        <w:p>
          <w:pPr>
            <w:pStyle w:val="Normal"/>
            <w:jc w:val="center"/>
            <w:rPr>
              <w:rFonts w:ascii="Segoe UI" w:hAnsi="Segoe UI" w:eastAsia="Times New Roman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rFonts w:eastAsia="Times New Roman" w:cs="Segoe UI" w:ascii="Segoe UI" w:hAnsi="Segoe UI"/>
              <w:b/>
              <w:bCs/>
              <w:color w:val="000000"/>
              <w:sz w:val="28"/>
              <w:szCs w:val="28"/>
              <w:lang w:eastAsia="es-CO"/>
            </w:rPr>
            <w:t>HOJA DE SEGURIDAD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4a0" w:noHBand="0" w:noVBand="1" w:firstColumn="1" w:lastRow="0" w:lastColumn="0" w:firstRow="1"/>
    </w:tblPr>
    <w:tblGrid>
      <w:gridCol w:w="9802"/>
    </w:tblGrid>
    <w:tr>
      <w:trPr>
        <w:trHeight w:val="20" w:hRule="atLeast"/>
      </w:trPr>
      <w:tc>
        <w:tcPr>
          <w:tcW w:w="9802" w:type="dxa"/>
          <w:tcBorders/>
          <w:shd w:color="auto" w:fill="auto" w:val="clear"/>
          <w:vAlign w:val="center"/>
        </w:tcPr>
        <w:p>
          <w:pPr>
            <w:pStyle w:val="Normal"/>
            <w:rPr/>
          </w:pPr>
          <w:r>
            <w:rPr/>
            <mc:AlternateContent>
              <mc:Choice Requires="wps">
                <w:drawing>
                  <wp:anchor distT="0" distB="0" distL="0" distR="8890" simplePos="0" relativeHeight="28" behindDoc="1" locked="0" layoutInCell="1" allowOverlap="1" wp14:anchorId="2806D0A1">
                    <wp:simplePos x="0" y="0"/>
                    <wp:positionH relativeFrom="column">
                      <wp:posOffset>4504690</wp:posOffset>
                    </wp:positionH>
                    <wp:positionV relativeFrom="margin">
                      <wp:posOffset>19050</wp:posOffset>
                    </wp:positionV>
                    <wp:extent cx="1514475" cy="194945"/>
                    <wp:effectExtent l="635" t="635" r="0" b="0"/>
                    <wp:wrapNone/>
                    <wp:docPr id="6" name="Cuadro de texto 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14520" cy="195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rameContents"/>
                                  <w:rPr>
                                    <w:rFonts w:ascii="Segoe UI" w:hAnsi="Segoe UI" w:cs="Segoe UI"/>
                                    <w:b/>
                                    <w:bCs/>
                                    <w:lang w:val="es-CO"/>
                                  </w:rPr>
                                </w:pPr>
                                <w:r>
                                  <w:rPr>
                                    <w:rFonts w:cs="Segoe UI" w:ascii="Segoe UI" w:hAnsi="Segoe UI"/>
                                    <w:b/>
                                    <w:bCs/>
                                    <w:lang w:val="es-CO"/>
                                  </w:rPr>
                                </w:r>
                              </w:p>
                            </w:txbxContent>
                          </wps:txbx>
                          <wps:bodyPr lIns="17640" tIns="17640" rIns="17640" bIns="17640" anchor="t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stroked="f" o:allowincell="t" style="position:absolute;margin-left:354.7pt;margin-top:1.5pt;width:119.2pt;height:15.3pt;mso-wrap-style:none;v-text-anchor:middle;mso-position-vertical-relative:margin" wp14:anchorId="2806D0A1">
                    <v:fill o:detectmouseclick="t" on="false"/>
                    <v:stroke color="#3465a4" weight="9360" joinstyle="miter" endcap="flat"/>
                    <v:textbox>
                      <w:txbxContent>
                        <w:p>
                          <w:pPr>
                            <w:pStyle w:val="FrameContents"/>
                            <w:rPr>
                              <w:rFonts w:ascii="Segoe UI" w:hAnsi="Segoe UI" w:cs="Segoe UI"/>
                              <w:b/>
                              <w:bCs/>
                              <w:lang w:val="es-CO"/>
                            </w:rPr>
                          </w:pPr>
                          <w:r>
                            <w:rPr>
                              <w:rFonts w:cs="Segoe UI" w:ascii="Segoe UI" w:hAnsi="Segoe UI"/>
                              <w:b/>
                              <w:bCs/>
                              <w:lang w:val="es-CO"/>
                            </w:rPr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tc>
    </w:tr>
    <w:tr>
      <w:trPr>
        <w:trHeight w:val="20" w:hRule="atLeast"/>
      </w:trPr>
      <w:tc>
        <w:tcPr>
          <w:tcW w:w="9802" w:type="dxa"/>
          <w:tcBorders/>
          <w:shd w:color="auto" w:fill="auto" w:val="clear"/>
          <w:vAlign w:val="center"/>
        </w:tcPr>
        <w:p>
          <w:pPr>
            <w:pStyle w:val="Normal"/>
            <w:jc w:val="center"/>
            <w:rPr>
              <w:rFonts w:ascii="Segoe UI" w:hAnsi="Segoe UI" w:eastAsia="Times New Roman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mc:AlternateContent>
              <mc:Choice Requires="wps">
                <w:drawing>
                  <wp:anchor distT="0" distB="8890" distL="0" distR="0" simplePos="0" relativeHeight="11" behindDoc="1" locked="0" layoutInCell="1" allowOverlap="1" wp14:anchorId="14B0E230">
                    <wp:simplePos x="0" y="0"/>
                    <wp:positionH relativeFrom="page">
                      <wp:posOffset>130810</wp:posOffset>
                    </wp:positionH>
                    <wp:positionV relativeFrom="margin">
                      <wp:posOffset>-159385</wp:posOffset>
                    </wp:positionV>
                    <wp:extent cx="1036320" cy="600710"/>
                    <wp:effectExtent l="0" t="0" r="0" b="8890"/>
                    <wp:wrapNone/>
                    <wp:docPr id="7" name="Imagen 6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" name="Imagen 61"/>
                            <pic:cNvPicPr/>
                          </pic:nvPicPr>
                          <pic:blipFill>
                            <a:blip r:embed="rId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 l="3588" t="0" r="0" b="0"/>
                            <a:stretch/>
                          </pic:blipFill>
                          <pic:spPr>
                            <a:xfrm>
                              <a:off x="0" y="0"/>
                              <a:ext cx="1036440" cy="600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 id="shape_0" stroked="f" o:allowincell="t" style="position:absolute;margin-left:10.3pt;margin-top:-12.55pt;width:81.55pt;height:47.25pt;mso-wrap-style:none;v-text-anchor:middle;mso-position-horizontal-relative:page;mso-position-vertical-relative:margin" wp14:anchorId="14B0E230" type="_x0000_t75">
                    <v:imagedata r:id="rId2" o:detectmouseclick="t"/>
                    <v:stroke color="#3465a4" joinstyle="round" endcap="flat"/>
                    <w10:wrap type="none"/>
                  </v:shape>
                </w:pict>
              </mc:Fallback>
            </mc:AlternateContent>
          </w:r>
          <w:r>
            <w:rPr>
              <w:rFonts w:eastAsia="Times New Roman" w:cs="Segoe UI" w:ascii="Segoe UI" w:hAnsi="Segoe UI"/>
              <w:b/>
              <w:bCs/>
              <w:color w:val="000000"/>
              <w:sz w:val="48"/>
              <w:szCs w:val="48"/>
              <w:lang w:eastAsia="es-CO"/>
            </w:rPr>
            <w:t>FE SULFATO DE CALCIO</w:t>
          </w:r>
        </w:p>
        <w:p>
          <w:pPr>
            <w:pStyle w:val="Normal"/>
            <w:jc w:val="center"/>
            <w:rPr>
              <w:rFonts w:ascii="Segoe UI" w:hAnsi="Segoe UI" w:eastAsia="Times New Roman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rFonts w:eastAsia="Times New Roman" w:cs="Segoe UI" w:ascii="Segoe UI" w:hAnsi="Segoe UI"/>
              <w:b/>
              <w:bCs/>
              <w:color w:val="000000"/>
              <w:sz w:val="28"/>
              <w:szCs w:val="28"/>
              <w:lang w:eastAsia="es-CO"/>
            </w:rPr>
            <w:t>HOJA DE SEGURIDAD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4aea"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fd13cf"/>
    <w:rPr>
      <w:rFonts w:ascii="Calibri" w:hAnsi="Calibri" w:eastAsia="Calibri" w:cs="Calibri"/>
      <w:lang w:val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fd13cf"/>
    <w:rPr>
      <w:rFonts w:ascii="Calibri" w:hAnsi="Calibri" w:eastAsia="Calibri" w:cs="Calibri"/>
      <w:lang w:val="es-ES"/>
    </w:rPr>
  </w:style>
  <w:style w:type="character" w:styleId="Hyperlink">
    <w:name w:val="Hyperlink"/>
    <w:basedOn w:val="DefaultParagraphFont"/>
    <w:uiPriority w:val="99"/>
    <w:unhideWhenUsed/>
    <w:rsid w:val="006e5c40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e5c4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start="42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d13cf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fd13cf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NoSpacing">
    <w:name w:val="No Spacing"/>
    <w:uiPriority w:val="1"/>
    <w:qFormat/>
    <w:rsid w:val="00153970"/>
    <w:pPr>
      <w:widowControl/>
      <w:bidi w:val="0"/>
      <w:spacing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s-CO" w:eastAsia="es-CO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046f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orejuela@calferquim.com" TargetMode="External"/><Relationship Id="rId3" Type="http://schemas.openxmlformats.org/officeDocument/2006/relationships/image" Target="media/image1.png"/><Relationship Id="rId4" Type="http://schemas.openxmlformats.org/officeDocument/2006/relationships/oleObject" Target="embeddings/oleObject1.bin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microsoft.com/office/2007/relationships/hdphoto" Target="media/hdphoto1.wdp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LibreOffice/26.2.1.2$Linux_X86_64 LibreOffice_project/620$Build-2</Application>
  <AppVersion>15.0000</AppVersion>
  <Pages>9</Pages>
  <Words>2938</Words>
  <Characters>16658</Characters>
  <CharactersWithSpaces>19515</CharactersWithSpaces>
  <Paragraphs>301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2025-07-16T13:38:00Z</dcterms:created>
  <dc:creator>LENOVO</dc:creator>
  <dc:description/>
  <dc:language>en-US</dc:language>
  <cp:lastModifiedBy/>
  <cp:lastPrinted>2025-07-16T13:42:00Z</cp:lastPrinted>
  <dcterms:modified xsi:type="dcterms:W3CDTF">2026-03-05T11:16:54Z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