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Esta propuesta reestructura tu Sistema de Gestión de Calidad (SGC) actual para alinearlo directamente con los requisitos de la</w:t>
      </w:r>
      <w:r>
        <w:t xml:space="preserve"> </w:t>
      </w:r>
      <w:r>
        <w:rPr>
          <w:b/>
          <w:bCs/>
        </w:rPr>
        <w:t xml:space="preserve">propuesta de resolución (pv0)</w:t>
      </w:r>
      <w:r>
        <w:t xml:space="preserve">, transformando el enfoque de</w:t>
      </w:r>
      <w:r>
        <w:t xml:space="preserve"> </w:t>
      </w:r>
      <w:r>
        <w:t xml:space="preserve">“archivo documental”</w:t>
      </w:r>
      <w:r>
        <w:t xml:space="preserve"> </w:t>
      </w:r>
      <w:r>
        <w:t xml:space="preserve">a un</w:t>
      </w:r>
      <w:r>
        <w:t xml:space="preserve"> </w:t>
      </w:r>
      <w:r>
        <w:rPr>
          <w:b/>
          <w:bCs/>
        </w:rPr>
        <w:t xml:space="preserve">sistema de gestión por procesos</w:t>
      </w:r>
      <w:r>
        <w:t xml:space="preserve">.</w:t>
      </w:r>
    </w:p>
    <w:p>
      <w:pPr>
        <w:pStyle w:val="BodyText"/>
      </w:pPr>
      <w:r>
        <w:t xml:space="preserve">El objetivo es que tu estructura de carpetas coincida con la lista de verificación del</w:t>
      </w:r>
      <w:r>
        <w:t xml:space="preserve"> </w:t>
      </w:r>
      <w:r>
        <w:rPr>
          <w:b/>
          <w:bCs/>
        </w:rPr>
        <w:t xml:space="preserve">Anexo I-B (Acta de Visita)</w:t>
      </w:r>
      <w:r>
        <w:t xml:space="preserve"> </w:t>
      </w:r>
      <w:r>
        <w:t xml:space="preserve">1, facilitando la inspección del ICA y garantizando el cumplimiento de los nuevos puntos críticos como la trazabilidad, el control de residuos y la supervisión del laboratorio.</w:t>
      </w:r>
    </w:p>
    <w:bookmarkStart w:id="9" w:name="X145b433e50829f8dbfb98ab65e9f4f45786d5f0"/>
    <w:p>
      <w:pPr>
        <w:pStyle w:val="Heading3"/>
      </w:pPr>
      <w:r>
        <w:t xml:space="preserve">Nueva Estructura Propuesta del SGC (Alineada a pv0)</w:t>
      </w:r>
    </w:p>
    <w:p>
      <w:pPr>
        <w:pStyle w:val="FirstParagraph"/>
      </w:pPr>
      <w:r>
        <w:t xml:space="preserve">Esta estructura reemplaza la organización numérica anterior por una lógica de flujo de proceso (Ciclo PHVA).</w:t>
      </w:r>
    </w:p>
    <w:p>
      <w:pPr>
        <w:pStyle w:val="BodyText"/>
      </w:pPr>
      <w:r>
        <w:t xml:space="preserve">SGC_CALFERQUIM_NUEVA_RESOLUCION/</w:t>
      </w:r>
    </w:p>
    <w:p>
      <w:pPr>
        <w:pStyle w:val="BodyText"/>
      </w:pPr>
      <w:r>
        <w:t xml:space="preserve">├── 00_Inbox_Pendientes/</w:t>
      </w:r>
    </w:p>
    <w:p>
      <w:pPr>
        <w:pStyle w:val="BodyText"/>
      </w:pPr>
      <w:r>
        <w:t xml:space="preserve">├── 01_Direccion_Tecnica_Legal/</w:t>
      </w:r>
    </w:p>
    <w:p>
      <w:pPr>
        <w:pStyle w:val="BodyText"/>
      </w:pPr>
      <w:r>
        <w:t xml:space="preserve">│ ├── 01_Registro_Empresa_ICA/ # Resoluciones, Modificaciones, SimplifICA [2, 3]</w:t>
      </w:r>
    </w:p>
    <w:p>
      <w:pPr>
        <w:pStyle w:val="BodyText"/>
      </w:pPr>
      <w:r>
        <w:t xml:space="preserve">│ ├── 02_Asesor_Tecnico/ # Contrato y soportes de acompañamiento permanente [4, 5]</w:t>
      </w:r>
    </w:p>
    <w:p>
      <w:pPr>
        <w:pStyle w:val="BodyText"/>
      </w:pPr>
      <w:r>
        <w:t xml:space="preserve">│ └── 03_Representacion_Legal/ # Cámara de comercio, RUT</w:t>
      </w:r>
    </w:p>
    <w:p>
      <w:pPr>
        <w:pStyle w:val="BodyText"/>
      </w:pPr>
      <w:r>
        <w:t xml:space="preserve">├── 02_Gestion_Proveedores_Insumos/ # (Antes parte de 04 y 07)</w:t>
      </w:r>
    </w:p>
    <w:p>
      <w:pPr>
        <w:pStyle w:val="BodyText"/>
      </w:pPr>
      <w:r>
        <w:t xml:space="preserve">│ ├── 01_Seleccion_Evaluacion/ # Procedimiento Control de Proveedores [6]</w:t>
      </w:r>
    </w:p>
    <w:p>
      <w:pPr>
        <w:pStyle w:val="BodyText"/>
      </w:pPr>
      <w:r>
        <w:t xml:space="preserve">│ ├── 02_Hojas_Seguridad_MP/ # De materias primas (antigua carpeta 07) [7]</w:t>
      </w:r>
    </w:p>
    <w:p>
      <w:pPr>
        <w:pStyle w:val="BodyText"/>
      </w:pPr>
      <w:r>
        <w:t xml:space="preserve">│ ├── 03_Recepcion_Almacenamiento/ # Proc. recepción y ubicación [8]</w:t>
      </w:r>
    </w:p>
    <w:p>
      <w:pPr>
        <w:pStyle w:val="BodyText"/>
      </w:pPr>
      <w:r>
        <w:t xml:space="preserve">│ └── 04_Fichas_Tecnicas_MP/ # Requisito para registro de productos [7]</w:t>
      </w:r>
    </w:p>
    <w:p>
      <w:pPr>
        <w:pStyle w:val="BodyText"/>
      </w:pPr>
      <w:r>
        <w:t xml:space="preserve">├── 03_Produccion_Manufactura/ # (Fusiona 03 Operacion y 06 Procesos)</w:t>
      </w:r>
    </w:p>
    <w:p>
      <w:pPr>
        <w:pStyle w:val="BodyText"/>
      </w:pPr>
      <w:r>
        <w:t xml:space="preserve">│ ├── 01_Ordenes_Produccion/</w:t>
      </w:r>
    </w:p>
    <w:p>
      <w:pPr>
        <w:pStyle w:val="BodyText"/>
      </w:pPr>
      <w:r>
        <w:t xml:space="preserve">│ ├── 02_Procedimientos_POE/ # Molienda, Mezcla, Homogenización, Reacciones [6, 8]</w:t>
      </w:r>
    </w:p>
    <w:p>
      <w:pPr>
        <w:pStyle w:val="BodyText"/>
      </w:pPr>
      <w:r>
        <w:t xml:space="preserve">│ ├── 03_Balance_Masas/ # Balance de materias primas (Nuevo requisito crítico) [6, 9]</w:t>
      </w:r>
    </w:p>
    <w:p>
      <w:pPr>
        <w:pStyle w:val="BodyText"/>
      </w:pPr>
      <w:r>
        <w:t xml:space="preserve">│ ├── 04_Envasado_Etiquetado/ # Proc. envasado y control de etiquetas [6]</w:t>
      </w:r>
    </w:p>
    <w:p>
      <w:pPr>
        <w:pStyle w:val="BodyText"/>
      </w:pPr>
      <w:r>
        <w:t xml:space="preserve">│ └── 05_Mantenimiento_Equipos/ # Listado de equipos y mantenimiento [6]</w:t>
      </w:r>
    </w:p>
    <w:p>
      <w:pPr>
        <w:pStyle w:val="BodyText"/>
      </w:pPr>
      <w:r>
        <w:t xml:space="preserve">├── 04_Laboratorio_Control_Calidad/ # (Fusiona 05, 11 y 12 - Enfoque Unificado)</w:t>
      </w:r>
    </w:p>
    <w:p>
      <w:pPr>
        <w:pStyle w:val="BodyText"/>
      </w:pPr>
      <w:r>
        <w:t xml:space="preserve">│ ├── 01_Registro_Laboratorio/ # Resolución del laboratorio propio o contrato externo registrado [10, 11]</w:t>
      </w:r>
    </w:p>
    <w:p>
      <w:pPr>
        <w:pStyle w:val="BodyText"/>
      </w:pPr>
      <w:r>
        <w:t xml:space="preserve">│ ├── 02_Plan_Muestreo/ # Proc. toma de muestras [6, 9]</w:t>
      </w:r>
    </w:p>
    <w:p>
      <w:pPr>
        <w:pStyle w:val="BodyText"/>
      </w:pPr>
      <w:r>
        <w:t xml:space="preserve">│ ├── 03_Resultados_Analisis/ # Certificados de análisis (anuales obligatorios) [11, 12]</w:t>
      </w:r>
    </w:p>
    <w:p>
      <w:pPr>
        <w:pStyle w:val="BodyText"/>
      </w:pPr>
      <w:r>
        <w:t xml:space="preserve">│ ├── 04_Contramuestras/ # Proc. almacenamiento y gestión de contramuestras [13, 14]</w:t>
      </w:r>
    </w:p>
    <w:p>
      <w:pPr>
        <w:pStyle w:val="BodyText"/>
      </w:pPr>
      <w:r>
        <w:t xml:space="preserve">│ └── 05_Verificacion_Equipos/ # Calibración de equipos de laboratorio (si aplica)</w:t>
      </w:r>
    </w:p>
    <w:p>
      <w:pPr>
        <w:pStyle w:val="BodyText"/>
      </w:pPr>
      <w:r>
        <w:t xml:space="preserve">├── 05_Trazabilidad_Liberacion/ # (Nuevo Módulo Crítico)</w:t>
      </w:r>
    </w:p>
    <w:p>
      <w:pPr>
        <w:pStyle w:val="BodyText"/>
      </w:pPr>
      <w:r>
        <w:t xml:space="preserve">│ ├── 01_Codificacion_Lotes/ # Procedimiento de loteado [8, 9]</w:t>
      </w:r>
    </w:p>
    <w:p>
      <w:pPr>
        <w:pStyle w:val="BodyText"/>
      </w:pPr>
      <w:r>
        <w:t xml:space="preserve">│ ├── 02_Liberacion_Lotes/ # Formatos de liberación al comercio (Cuarentena -&gt; Aprobado) [8, 15]</w:t>
      </w:r>
    </w:p>
    <w:p>
      <w:pPr>
        <w:pStyle w:val="BodyText"/>
      </w:pPr>
      <w:r>
        <w:t xml:space="preserve">│ └── 03_Trazabilidad_Ventas/ # Rastreabilidad hasta el consumidor</w:t>
      </w:r>
    </w:p>
    <w:p>
      <w:pPr>
        <w:pStyle w:val="BodyText"/>
      </w:pPr>
      <w:r>
        <w:t xml:space="preserve">├── 06_Gestion_Residuos_Ambiental/ # (Antes 02 - Reforzado)</w:t>
      </w:r>
    </w:p>
    <w:p>
      <w:pPr>
        <w:pStyle w:val="BodyText"/>
      </w:pPr>
      <w:r>
        <w:t xml:space="preserve">│ ├── 01_Disposicion_Barreduras/ # Proc. manejo y prohibición de reutilización [16, 17]</w:t>
      </w:r>
    </w:p>
    <w:p>
      <w:pPr>
        <w:pStyle w:val="BodyText"/>
      </w:pPr>
      <w:r>
        <w:t xml:space="preserve">│ ├── 02_Residuos_Liquidos/ # Disposición final [18]</w:t>
      </w:r>
    </w:p>
    <w:p>
      <w:pPr>
        <w:pStyle w:val="BodyText"/>
      </w:pPr>
      <w:r>
        <w:t xml:space="preserve">│ └── 03_Plan_Gestion_Ambiental/</w:t>
      </w:r>
    </w:p>
    <w:p>
      <w:pPr>
        <w:pStyle w:val="BodyText"/>
      </w:pPr>
      <w:r>
        <w:t xml:space="preserve">├── 07_Postventa_Servicio_Cliente/ # (Antes parte de 04)</w:t>
      </w:r>
    </w:p>
    <w:p>
      <w:pPr>
        <w:pStyle w:val="BodyText"/>
      </w:pPr>
      <w:r>
        <w:t xml:space="preserve">│ ├── 01_PQRS/ # Proc. atención quejas y reclamos con tiempos definidos [9, 19]</w:t>
      </w:r>
    </w:p>
    <w:p>
      <w:pPr>
        <w:pStyle w:val="BodyText"/>
      </w:pPr>
      <w:r>
        <w:t xml:space="preserve">│ └── 02_Retiro_Producto/ # Procedimiento de recall (retirada del mercado) [20]</w:t>
      </w:r>
    </w:p>
    <w:p>
      <w:pPr>
        <w:pStyle w:val="BodyText"/>
      </w:pPr>
      <w:r>
        <w:t xml:space="preserve">└── 08_Dossier_Productos_Registrados/ # (Antes 08 y 09)</w:t>
      </w:r>
    </w:p>
    <w:p>
      <w:pPr>
        <w:pStyle w:val="SourceCode"/>
      </w:pPr>
      <w:r>
        <w:rPr>
          <w:rStyle w:val="VerbatimChar"/>
        </w:rPr>
        <w:t xml:space="preserve">├── \[Nombre\_Comercial\_Producto\]/</w:t>
      </w:r>
      <w:r>
        <w:br/>
      </w:r>
      <w:r>
        <w:br/>
      </w:r>
      <w:r>
        <w:rPr>
          <w:rStyle w:val="VerbatimChar"/>
        </w:rPr>
        <w:t xml:space="preserve">│   ├── 01\_Registro\_Venta/         \# Resolución y modificaciones</w:t>
      </w:r>
      <w:r>
        <w:br/>
      </w:r>
      <w:r>
        <w:br/>
      </w:r>
      <w:r>
        <w:rPr>
          <w:rStyle w:val="VerbatimChar"/>
        </w:rPr>
        <w:t xml:space="preserve">│   ├── 02\_Ficha\_Tecnica/          \# Actualizada según Anexo II-E \[21\]</w:t>
      </w:r>
      <w:r>
        <w:br/>
      </w:r>
      <w:r>
        <w:br/>
      </w:r>
      <w:r>
        <w:rPr>
          <w:rStyle w:val="VerbatimChar"/>
        </w:rPr>
        <w:t xml:space="preserve">│   ├── 03\_Etiqueta\_Aprobada/      \# PDF legible aprobado \[7, 22\]</w:t>
      </w:r>
      <w:r>
        <w:br/>
      </w:r>
      <w:r>
        <w:br/>
      </w:r>
      <w:r>
        <w:rPr>
          <w:rStyle w:val="VerbatimChar"/>
        </w:rPr>
        <w:t xml:space="preserve">│   ├── 04\_Hoja\_Seguridad/         \# Ficha de datos de seguridad \[7\]</w:t>
      </w:r>
      <w:r>
        <w:br/>
      </w:r>
      <w:r>
        <w:br/>
      </w:r>
      <w:r>
        <w:rPr>
          <w:rStyle w:val="VerbatimChar"/>
        </w:rPr>
        <w:t xml:space="preserve">│   └── 05\_Soportes\_Ensayo/        \# Informes de eficacia (si aplica) \[23\]</w:t>
      </w:r>
    </w:p>
    <w:bookmarkEnd w:id="9"/>
    <w:bookmarkStart w:id="15" w:name="justificación-de-los-cambios-clave"/>
    <w:p>
      <w:pPr>
        <w:pStyle w:val="Heading3"/>
      </w:pPr>
      <w:r>
        <w:t xml:space="preserve">Justificación de los Cambios Clave</w:t>
      </w:r>
    </w:p>
    <w:p>
      <w:pPr>
        <w:pStyle w:val="FirstParagraph"/>
      </w:pPr>
      <w:r>
        <w:t xml:space="preserve">A continuación, explico por qué se sugieren estos cambios basándome en los hallazgos de las fuentes:</w:t>
      </w:r>
    </w:p>
    <w:bookmarkStart w:id="10" w:name="X4557320e8b516e36957b0c00aebb05e05755212"/>
    <w:p>
      <w:pPr>
        <w:pStyle w:val="Heading4"/>
      </w:pPr>
      <w:r>
        <w:t xml:space="preserve">1. Centralización de Laboratorio (04_Laboratorio_Control_Calidad)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Tenías separado</w:t>
      </w:r>
      <w:r>
        <w:t xml:space="preserve"> </w:t>
      </w:r>
      <w:r>
        <w:t xml:space="preserve">“Laboratorio”</w:t>
      </w:r>
      <w:r>
        <w:t xml:space="preserve"> </w:t>
      </w:r>
      <w:r>
        <w:t xml:space="preserve">(interno) y</w:t>
      </w:r>
      <w:r>
        <w:t xml:space="preserve"> </w:t>
      </w:r>
      <w:r>
        <w:t xml:space="preserve">“Laboratorios Externos”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 pv0:</w:t>
      </w:r>
      <w:r>
        <w:t xml:space="preserve"> </w:t>
      </w:r>
      <w:r>
        <w:t xml:space="preserve">La nueva norma exige que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los análisis de control de calidad (incluso los internos anuales) provengan de un laboratorio</w:t>
      </w:r>
      <w:r>
        <w:t xml:space="preserve"> </w:t>
      </w:r>
      <w:r>
        <w:rPr>
          <w:b/>
          <w:bCs/>
        </w:rPr>
        <w:t xml:space="preserve">registrado ante el ICA</w:t>
      </w:r>
      <w:r>
        <w:t xml:space="preserve"> </w:t>
      </w:r>
      <w:r>
        <w:t xml:space="preserve">10, 11. Ya no basta con verificadores internos en Excel si el laboratorio no está registrado.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 unifica la gestión para demostrar que, sea propio o contratado, el laboratorio cumple con el registro y provee los certificados de análisis anuales obligatorios 11. Se añade explícitamente la carpeta de</w:t>
      </w:r>
      <w:r>
        <w:t xml:space="preserve"> </w:t>
      </w:r>
      <w:r>
        <w:rPr>
          <w:b/>
          <w:bCs/>
        </w:rPr>
        <w:t xml:space="preserve">Contramuestras</w:t>
      </w:r>
      <w:r>
        <w:t xml:space="preserve">, un requisito procedimental nuevo y explícito en el Anexo I-B 14.</w:t>
      </w:r>
    </w:p>
    <w:bookmarkEnd w:id="10"/>
    <w:bookmarkStart w:id="11" w:name="Xd3bae7fa11ca62bfce78201f1f7e0b33806c0eb"/>
    <w:p>
      <w:pPr>
        <w:pStyle w:val="Heading4"/>
      </w:pPr>
      <w:r>
        <w:t xml:space="preserve">2. Creación del Módulo de Trazabilidad (05_Trazabilidad_Liberacion)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La liberación de lotes estaba oculta dentro de</w:t>
      </w:r>
      <w:r>
        <w:t xml:space="preserve"> </w:t>
      </w:r>
      <w:r>
        <w:t xml:space="preserve">“Calidad”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Requisito pv0:</w:t>
      </w:r>
      <w:r>
        <w:t xml:space="preserve"> </w:t>
      </w:r>
      <w:r>
        <w:t xml:space="preserve">El Anexo I-B exige procedimientos documentados específicos para la</w:t>
      </w:r>
      <w:r>
        <w:t xml:space="preserve"> </w:t>
      </w:r>
      <w:r>
        <w:rPr>
          <w:b/>
          <w:bCs/>
        </w:rPr>
        <w:t xml:space="preserve">Codificación de Lotes</w:t>
      </w:r>
      <w:r>
        <w:t xml:space="preserve"> </w:t>
      </w:r>
      <w:r>
        <w:t xml:space="preserve">6 y la</w:t>
      </w:r>
      <w:r>
        <w:t xml:space="preserve"> </w:t>
      </w:r>
      <w:r>
        <w:rPr>
          <w:b/>
          <w:bCs/>
        </w:rPr>
        <w:t xml:space="preserve">Liberación de Lotes al comercio</w:t>
      </w:r>
      <w:r>
        <w:t xml:space="preserve"> </w:t>
      </w:r>
      <w:r>
        <w:t xml:space="preserve">8, 15.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 eleva la visibilidad de estos procesos. Ante una visita técnica, el inspector verificará cómo un lote específico pasa de producción a estar</w:t>
      </w:r>
      <w:r>
        <w:t xml:space="preserve"> </w:t>
      </w:r>
      <w:r>
        <w:t xml:space="preserve">“liberado”</w:t>
      </w:r>
      <w:r>
        <w:t xml:space="preserve"> </w:t>
      </w:r>
      <w:r>
        <w:t xml:space="preserve">para la venta. Esta carpeta debe contener los registros que vinculan la Orden de Producción con el Certificado de Análisis y la autorización de venta.</w:t>
      </w:r>
    </w:p>
    <w:bookmarkEnd w:id="11"/>
    <w:bookmarkStart w:id="12" w:name="Xa76098b7a0967a3d0b977bb6c7039d04654b197"/>
    <w:p>
      <w:pPr>
        <w:pStyle w:val="Heading4"/>
      </w:pPr>
      <w:r>
        <w:t xml:space="preserve">3. Gestión Estricta de Residuos (06_Gestion_Residuos_Ambiental)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“Gestión Ambiental”</w:t>
      </w:r>
      <w:r>
        <w:t xml:space="preserve"> </w:t>
      </w:r>
      <w:r>
        <w:t xml:space="preserve">parecía ser un repositorio general.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Requisito pv0:</w:t>
      </w:r>
      <w:r>
        <w:t xml:space="preserve"> </w:t>
      </w:r>
      <w:r>
        <w:t xml:space="preserve">Existe una prohibición explícita y grave:</w:t>
      </w:r>
      <w:r>
        <w:t xml:space="preserve"> </w:t>
      </w:r>
      <w:r>
        <w:rPr>
          <w:b/>
          <w:bCs/>
        </w:rPr>
        <w:t xml:space="preserve">“Prohibido distribuir o destinar las barreduras para la elaboración de fertilizantes”</w:t>
      </w:r>
      <w:r>
        <w:t xml:space="preserve"> </w:t>
      </w:r>
      <w:r>
        <w:t xml:space="preserve">16, 17. Además, se exige un procedimiento documentado para el manejo o disposición de residuos líquidos y barreduras 24.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 debe separar claramente el material recuperable del residuo/barredura. Tener una carpeta específica para</w:t>
      </w:r>
      <w:r>
        <w:t xml:space="preserve"> </w:t>
      </w:r>
      <w:r>
        <w:t xml:space="preserve">“Disposición de Barreduras”</w:t>
      </w:r>
      <w:r>
        <w:t xml:space="preserve"> </w:t>
      </w:r>
      <w:r>
        <w:t xml:space="preserve">demuestra control sobre este riesgo de inocuidad y cumplimiento de la prohibición.</w:t>
      </w:r>
    </w:p>
    <w:bookmarkEnd w:id="12"/>
    <w:bookmarkStart w:id="13" w:name="Xf5047a364b83b2c02e4c567a068f3eff2b80130"/>
    <w:p>
      <w:pPr>
        <w:pStyle w:val="Heading4"/>
      </w:pPr>
      <w:r>
        <w:t xml:space="preserve">4. Producción y Balance de Masas (03_Produccion_Manufactura)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Los procesos operativos estaban dispersos entre</w:t>
      </w:r>
      <w:r>
        <w:t xml:space="preserve"> </w:t>
      </w:r>
      <w:r>
        <w:t xml:space="preserve">“Operación”</w:t>
      </w:r>
      <w:r>
        <w:t xml:space="preserve"> </w:t>
      </w:r>
      <w:r>
        <w:t xml:space="preserve">y</w:t>
      </w:r>
      <w:r>
        <w:t xml:space="preserve"> </w:t>
      </w:r>
      <w:r>
        <w:t xml:space="preserve">“SST”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Requisito pv0:</w:t>
      </w:r>
      <w:r>
        <w:t xml:space="preserve"> </w:t>
      </w:r>
      <w:r>
        <w:t xml:space="preserve">Se exige documentación del</w:t>
      </w:r>
      <w:r>
        <w:t xml:space="preserve"> </w:t>
      </w:r>
      <w:r>
        <w:rPr>
          <w:b/>
          <w:bCs/>
        </w:rPr>
        <w:t xml:space="preserve">“Balance de materias primas”</w:t>
      </w:r>
      <w:r>
        <w:t xml:space="preserve"> </w:t>
      </w:r>
      <w:r>
        <w:t xml:space="preserve">6, 9. Esto implica verificar que la cantidad de materia prima comprada coincide con la producida + inventario + residuos.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 integran los POE (Procedimientos Operativos Estandarizados) en una sola ubicación. Se añade</w:t>
      </w:r>
      <w:r>
        <w:t xml:space="preserve"> </w:t>
      </w:r>
      <w:r>
        <w:t xml:space="preserve">“Balance de Masas”</w:t>
      </w:r>
      <w:r>
        <w:t xml:space="preserve"> </w:t>
      </w:r>
      <w:r>
        <w:t xml:space="preserve">para auditar rendimientos y evitar desvíos, un punto clave en la nueva inspección técnica.</w:t>
      </w:r>
    </w:p>
    <w:bookmarkEnd w:id="13"/>
    <w:bookmarkStart w:id="14" w:name="X961996c8b9fe07c612ec1e94b6030a752383789"/>
    <w:p>
      <w:pPr>
        <w:pStyle w:val="Heading4"/>
      </w:pPr>
      <w:r>
        <w:t xml:space="preserve">5. Gestión de Proveedores (02_Gestion_Proveedores_Insumos)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Problema actual:</w:t>
      </w:r>
      <w:r>
        <w:t xml:space="preserve"> </w:t>
      </w:r>
      <w:r>
        <w:t xml:space="preserve">Estaba implícito en</w:t>
      </w:r>
      <w:r>
        <w:t xml:space="preserve"> </w:t>
      </w:r>
      <w:r>
        <w:t xml:space="preserve">“Calidad”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Requisito pv0:</w:t>
      </w:r>
      <w:r>
        <w:t xml:space="preserve"> </w:t>
      </w:r>
      <w:r>
        <w:t xml:space="preserve">El Anexo I-A exige explícitamente procedimientos y registros de</w:t>
      </w:r>
      <w:r>
        <w:t xml:space="preserve"> </w:t>
      </w:r>
      <w:r>
        <w:rPr>
          <w:b/>
          <w:bCs/>
        </w:rPr>
        <w:t xml:space="preserve">“control de proveedores”</w:t>
      </w:r>
      <w:r>
        <w:t xml:space="preserve"> </w:t>
      </w:r>
      <w:r>
        <w:t xml:space="preserve">6.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Se crea un directorio dedicado para demostrar que solo se compran materias primas a proveedores aprobados y que se cuenta con sus Hojas de Seguridad y Fichas Técnicas actualizadas antes de usarlas en fabricación.</w:t>
      </w:r>
    </w:p>
    <w:bookmarkEnd w:id="14"/>
    <w:bookmarkEnd w:id="15"/>
    <w:bookmarkStart w:id="16" w:name="X3481b2c436c0c8ae4e1436379cc05b15d2da8f5"/>
    <w:p>
      <w:pPr>
        <w:pStyle w:val="Heading3"/>
      </w:pPr>
      <w:r>
        <w:t xml:space="preserve">Recomendación de Implementación Inmediata</w:t>
      </w:r>
    </w:p>
    <w:p>
      <w:pPr>
        <w:pStyle w:val="FirstParagraph"/>
      </w:pPr>
      <w:r>
        <w:t xml:space="preserve">Para la transición descrita en el Artículo 40 (Periodo Transitorio) 25:</w:t>
      </w:r>
    </w:p>
    <w:p>
      <w:pPr>
        <w:pStyle w:val="Compact"/>
        <w:numPr>
          <w:ilvl w:val="0"/>
          <w:numId w:val="1006"/>
        </w:numPr>
      </w:pPr>
      <w:r>
        <w:t xml:space="preserve">Utilice la carpeta 01_Registro_Empresa_ICA para compilar los PDFs de resoluciones vigentes que deberá cargar a</w:t>
      </w:r>
      <w:r>
        <w:t xml:space="preserve"> </w:t>
      </w:r>
      <w:r>
        <w:rPr>
          <w:b/>
          <w:bCs/>
        </w:rPr>
        <w:t xml:space="preserve">SimplifICA</w:t>
      </w:r>
      <w:r>
        <w:t xml:space="preserve"> </w:t>
      </w:r>
      <w:r>
        <w:t xml:space="preserve">en el plazo de 6 meses.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Asegúrese de que la carpeta 04_Laboratorio…/03_Resultados_Analisis contenga un análisis completo del último año por cada producto registrado, ya que es una obligación de permanencia 11.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2026-02-10T05:17:13Z</dcterms:created>
  <dcterms:modified xsi:type="dcterms:W3CDTF">2026-02-10T05:17:13Z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