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4df977e4156190ee6550c9e92f5fdc33a222db"/>
    <w:p>
      <w:pPr>
        <w:pStyle w:val="Heading1"/>
      </w:pPr>
      <w:r>
        <w:t xml:space="preserve">PROCEDIMIENTO OPERATIVO ESTANDARIZADO: RECEPCION Y ALMACENAMIENTO DE MATERIAS PRIMAS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POE-3.01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el metodo para recibir, inspeccionar, aceptar, rechazar y almacenar materias primas (MP), asegurando trazabilidad por lote y condiciones de conservacion aptas para fabricacion.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 MP que ingresa a CALFERQUIM S.A.S. para produccion propia o formulaciones para terceros.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MP: Materia prima usada en formulacion o mezcla.</w:t>
      </w:r>
    </w:p>
    <w:p>
      <w:pPr>
        <w:pStyle w:val="Compact"/>
        <w:numPr>
          <w:ilvl w:val="0"/>
          <w:numId w:val="1001"/>
        </w:numPr>
      </w:pPr>
      <w:r>
        <w:t xml:space="preserve">Cuarentena: Estado temporal hasta completar verificacion documental y fisica.</w:t>
      </w:r>
    </w:p>
    <w:p>
      <w:pPr>
        <w:pStyle w:val="Compact"/>
        <w:numPr>
          <w:ilvl w:val="0"/>
          <w:numId w:val="1001"/>
        </w:numPr>
      </w:pPr>
      <w:r>
        <w:t xml:space="preserve">Lote MP: Identificador de trazabilidad del proveedor o codigo interno asignado.</w:t>
      </w:r>
    </w:p>
    <w:p>
      <w:pPr>
        <w:pStyle w:val="Compact"/>
        <w:numPr>
          <w:ilvl w:val="0"/>
          <w:numId w:val="1001"/>
        </w:numPr>
      </w:pPr>
      <w:r>
        <w:t xml:space="preserve">MP critica: Materia prima con impacto directo en seguridad/calidad del producto o con historial de desviaciones, definida por Direccion Tecnica y Calidad.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DC-SI26 Compras y Gestion de Proveedores.</w:t>
      </w:r>
    </w:p>
    <w:p>
      <w:pPr>
        <w:pStyle w:val="Compact"/>
        <w:numPr>
          <w:ilvl w:val="0"/>
          <w:numId w:val="1002"/>
        </w:numPr>
      </w:pPr>
      <w:r>
        <w:t xml:space="preserve">DC-SI37 Procedimiento para Almacenamiento Seguro y Conteo de Bultos.</w:t>
      </w:r>
    </w:p>
    <w:p>
      <w:pPr>
        <w:pStyle w:val="Compact"/>
        <w:numPr>
          <w:ilvl w:val="0"/>
          <w:numId w:val="1002"/>
        </w:numPr>
      </w:pPr>
      <w:r>
        <w:t xml:space="preserve">POE 3.13 Muestreo y Control de Calidad.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Compras debe verificar proveedor aprobado antes de emitir orden.</w:t>
      </w:r>
    </w:p>
    <w:p>
      <w:pPr>
        <w:pStyle w:val="Compact"/>
        <w:numPr>
          <w:ilvl w:val="0"/>
          <w:numId w:val="1003"/>
        </w:numPr>
      </w:pPr>
      <w:r>
        <w:t xml:space="preserve">Bodega debe recibir en zona de cuarentena y no liberar MP sin verificacion.</w:t>
      </w:r>
    </w:p>
    <w:p>
      <w:pPr>
        <w:pStyle w:val="Compact"/>
        <w:numPr>
          <w:ilvl w:val="0"/>
          <w:numId w:val="1003"/>
        </w:numPr>
      </w:pPr>
      <w:r>
        <w:t xml:space="preserve">Calidad debe definir aceptacion/rechazo y registrar evidencia.</w:t>
      </w:r>
    </w:p>
    <w:p>
      <w:pPr>
        <w:pStyle w:val="Compact"/>
        <w:numPr>
          <w:ilvl w:val="0"/>
          <w:numId w:val="1003"/>
        </w:numPr>
      </w:pPr>
      <w:r>
        <w:t xml:space="preserve">Se prohibe usar MP sin registro completo en formato y registro oficial.</w:t>
      </w:r>
    </w:p>
    <w:p>
      <w:pPr>
        <w:pStyle w:val="Compact"/>
        <w:numPr>
          <w:ilvl w:val="0"/>
          <w:numId w:val="1003"/>
        </w:numPr>
      </w:pPr>
      <w:r>
        <w:t xml:space="preserve">Se exige certificado de analisis (COA) para MP criticas o cuando aplique por especificacion.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Bodega recibe el vehiculo, verifica integridad de empaque y cantidad.</w:t>
      </w:r>
    </w:p>
    <w:p>
      <w:pPr>
        <w:pStyle w:val="Compact"/>
        <w:numPr>
          <w:ilvl w:val="0"/>
          <w:numId w:val="1004"/>
        </w:numPr>
      </w:pPr>
      <w:r>
        <w:t xml:space="preserve">Bodega revisa documentos: remision, ficha tecnica, hoja de seguridad vigente y COA cuando aplique.</w:t>
      </w:r>
    </w:p>
    <w:p>
      <w:pPr>
        <w:pStyle w:val="Compact"/>
        <w:numPr>
          <w:ilvl w:val="0"/>
          <w:numId w:val="1004"/>
        </w:numPr>
      </w:pPr>
      <w:r>
        <w:t xml:space="preserve">Bodega diligencia</w:t>
      </w:r>
      <w:r>
        <w:t xml:space="preserve"> </w:t>
      </w:r>
      <w:r>
        <w:rPr>
          <w:rStyle w:val="VerbatimChar"/>
        </w:rPr>
        <w:t xml:space="preserve">Formato_Inspeccion_Recepcion_MP_V1.csv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Calidad realiza inspeccion visual y define si requiere muestreo segun riesgo/proveedor/desviacion historica.</w:t>
      </w:r>
    </w:p>
    <w:p>
      <w:pPr>
        <w:pStyle w:val="Compact"/>
        <w:numPr>
          <w:ilvl w:val="0"/>
          <w:numId w:val="1004"/>
        </w:numPr>
      </w:pPr>
      <w:r>
        <w:t xml:space="preserve">Calidad define estado: Aprobado, Cuarentena o Rechazado y autoriza liberacion de cuarentena.</w:t>
      </w:r>
    </w:p>
    <w:p>
      <w:pPr>
        <w:pStyle w:val="Compact"/>
        <w:numPr>
          <w:ilvl w:val="0"/>
          <w:numId w:val="1004"/>
        </w:numPr>
      </w:pPr>
      <w:r>
        <w:t xml:space="preserve">Bodega etiqueta la MP con estado y lote, y ubica segun anexo de condiciones.</w:t>
      </w:r>
    </w:p>
    <w:p>
      <w:pPr>
        <w:pStyle w:val="Compact"/>
        <w:numPr>
          <w:ilvl w:val="0"/>
          <w:numId w:val="1004"/>
        </w:numPr>
      </w:pPr>
      <w:r>
        <w:t xml:space="preserve">Bodega registra ubicacion final en</w:t>
      </w:r>
      <w:r>
        <w:t xml:space="preserve"> </w:t>
      </w:r>
      <w:r>
        <w:rPr>
          <w:rStyle w:val="VerbatimChar"/>
        </w:rPr>
        <w:t xml:space="preserve">Registro_Recepcion_Almacenamiento_MP_V1.csv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 rechazo, Compras coordina devolucion y cierra no conformidad.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Remision + FT + HS vigentes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 (cuando aplique)</w:t>
            </w:r>
          </w:p>
        </w:tc>
        <w:tc>
          <w:tcPr/>
          <w:p>
            <w:pPr>
              <w:pStyle w:val="Compact"/>
            </w:pPr>
            <w:r>
              <w:t xml:space="preserve">Debe coincidir con especificacion tecnica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empaque</w:t>
            </w:r>
          </w:p>
        </w:tc>
        <w:tc>
          <w:tcPr/>
          <w:p>
            <w:pPr>
              <w:pStyle w:val="Compact"/>
            </w:pPr>
            <w:r>
              <w:t xml:space="preserve">Sin rotura, humedad ni contaminacion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Rotulado</w:t>
            </w:r>
          </w:p>
        </w:tc>
        <w:tc>
          <w:tcPr/>
          <w:p>
            <w:pPr>
              <w:pStyle w:val="Compact"/>
            </w:pPr>
            <w:r>
              <w:t xml:space="preserve">Lote y producto legibles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Separada por compatibilidad y estatus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Formato_Inspeccion_Recepcion_MP_V1.csv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Registro_Recepcion_Almacenamiento_MP_V1.csv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Lista de chequeo de inspeccion visual.</w:t>
      </w:r>
    </w:p>
    <w:p>
      <w:pPr>
        <w:pStyle w:val="Compact"/>
        <w:numPr>
          <w:ilvl w:val="0"/>
          <w:numId w:val="1006"/>
        </w:numPr>
      </w:pPr>
      <w:r>
        <w:t xml:space="preserve">Anexo 2: Condiciones de almacenamiento de MP.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homologada ICA pv0.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2026-02-18T10:33:49Z</dcterms:created>
  <dcterms:modified xsi:type="dcterms:W3CDTF">2026-02-18T10:33:49Z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