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30f5068983a656172c0a12f0756145a0f5cba8"/>
    <w:p>
      <w:pPr>
        <w:pStyle w:val="Heading1"/>
      </w:pPr>
      <w:r>
        <w:t xml:space="preserve">ACTA DE NO APLICABILIDAD: TRATAMIENTO TÉRMICO (PIROLISIS)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CGC-ACTA-NA-3.04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de proceso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Dejar constancia formal y documentada de la</w:t>
      </w:r>
      <w:r>
        <w:t xml:space="preserve"> </w:t>
      </w:r>
      <w:r>
        <w:rPr>
          <w:b/>
          <w:bCs/>
        </w:rPr>
        <w:t xml:space="preserve">No Aplicabilidad</w:t>
      </w:r>
      <w:r>
        <w:t xml:space="preserve"> </w:t>
      </w:r>
      <w:r>
        <w:t xml:space="preserve">del requisito</w:t>
      </w:r>
      <w:r>
        <w:t xml:space="preserve"> </w:t>
      </w:r>
      <w:r>
        <w:t xml:space="preserve">“Tratamiento Térmico por Pirolisis”</w:t>
      </w:r>
      <w:r>
        <w:t xml:space="preserve"> </w:t>
      </w:r>
      <w:r>
        <w:t xml:space="preserve">(numeral 3.04 del Anexo I-B de pv0) para la operación actual de manufactura de</w:t>
      </w:r>
      <w:r>
        <w:t xml:space="preserve"> </w:t>
      </w:r>
      <w:r>
        <w:rPr>
          <w:b/>
          <w:bCs/>
        </w:rPr>
        <w:t xml:space="preserve">CALFERQUIM S.A.S.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documento aplica al módulo de Producción del Sistema de Gestión de Calidad y exonera a la empresa de crear el POE 3.04 mientras no se implemente el proceso de pirolisis.</w:t>
      </w:r>
    </w:p>
    <w:bookmarkEnd w:id="10"/>
    <w:bookmarkStart w:id="11" w:name="fundamento-normativo"/>
    <w:p>
      <w:pPr>
        <w:pStyle w:val="Heading2"/>
      </w:pPr>
      <w:r>
        <w:t xml:space="preserve">3. FUNDAMENTO NORMATIVO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I-B, Numeral 3.04</w:t>
      </w:r>
      <w:r>
        <w:t xml:space="preserve"> </w:t>
      </w:r>
      <w:r>
        <w:t xml:space="preserve">“Tratamiento Térmico (Pirolisis)”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Resolución ICA 150 de 2003:</w:t>
      </w:r>
      <w:r>
        <w:t xml:space="preserve"> </w:t>
      </w:r>
      <w:r>
        <w:t xml:space="preserve">Literal aplicable.</w:t>
      </w:r>
    </w:p>
    <w:bookmarkEnd w:id="11"/>
    <w:bookmarkStart w:id="12" w:name="X3922a4ecea0f240bdb369f28c5320b8ce92babc"/>
    <w:p>
      <w:pPr>
        <w:pStyle w:val="Heading2"/>
      </w:pPr>
      <w:r>
        <w:t xml:space="preserve">4. JUSTIFICACIÓN TÉCNICA DE NO APLICABILIDAD</w:t>
      </w:r>
    </w:p>
    <w:p>
      <w:pPr>
        <w:pStyle w:val="FirstParagraph"/>
      </w:pPr>
      <w:r>
        <w:t xml:space="preserve">La empresa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 </w:t>
      </w:r>
      <w:r>
        <w:t xml:space="preserve">opera actualmente bajo un modelo de</w:t>
      </w:r>
      <w:r>
        <w:t xml:space="preserve"> </w:t>
      </w:r>
      <w:r>
        <w:rPr>
          <w:b/>
          <w:bCs/>
        </w:rPr>
        <w:t xml:space="preserve">mezcla física</w:t>
      </w:r>
      <w:r>
        <w:t xml:space="preserve"> </w:t>
      </w:r>
      <w:r>
        <w:t xml:space="preserve">de fertilizantes y acondicionadores de suelo. Los procesos que se ejecutan son:</w:t>
      </w:r>
    </w:p>
    <w:p>
      <w:pPr>
        <w:pStyle w:val="Compact"/>
        <w:numPr>
          <w:ilvl w:val="0"/>
          <w:numId w:val="1002"/>
        </w:numPr>
      </w:pPr>
      <w:r>
        <w:t xml:space="preserve">Molienda (mecánica)</w:t>
      </w:r>
    </w:p>
    <w:p>
      <w:pPr>
        <w:pStyle w:val="Compact"/>
        <w:numPr>
          <w:ilvl w:val="0"/>
          <w:numId w:val="1002"/>
        </w:numPr>
      </w:pPr>
      <w:r>
        <w:t xml:space="preserve">Mezcla / Blending</w:t>
      </w:r>
    </w:p>
    <w:p>
      <w:pPr>
        <w:pStyle w:val="Compact"/>
        <w:numPr>
          <w:ilvl w:val="0"/>
          <w:numId w:val="1002"/>
        </w:numPr>
      </w:pPr>
      <w:r>
        <w:t xml:space="preserve">Granulación simple</w:t>
      </w:r>
    </w:p>
    <w:p>
      <w:pPr>
        <w:pStyle w:val="Compact"/>
        <w:numPr>
          <w:ilvl w:val="0"/>
          <w:numId w:val="1002"/>
        </w:numPr>
      </w:pPr>
      <w:r>
        <w:t xml:space="preserve">Envasado</w:t>
      </w:r>
    </w:p>
    <w:p>
      <w:pPr>
        <w:pStyle w:val="FirstParagraph"/>
      </w:pPr>
      <w:r>
        <w:rPr>
          <w:b/>
          <w:bCs/>
        </w:rPr>
        <w:t xml:space="preserve">NO SE EJECUTA</w:t>
      </w:r>
      <w:r>
        <w:t xml:space="preserve"> </w:t>
      </w:r>
      <w:r>
        <w:t xml:space="preserve">ninguna etapa de transformación térmica por pirolisis, ni se cuenta con el equipo correspondiente (horno de pirolisis, reactor térmico de alta temperatura).</w:t>
      </w:r>
    </w:p>
    <w:p>
      <w:pPr>
        <w:pStyle w:val="BodyText"/>
      </w:pPr>
      <w:r>
        <w:t xml:space="preserve">Las formulaciones activas de los productos registrados no exigen este tratamiento para alcanzar las especificaciones de calidad declaradas en el Registro ICA.</w:t>
      </w:r>
    </w:p>
    <w:bookmarkEnd w:id="12"/>
    <w:bookmarkStart w:id="13" w:name="evidencias-de-soporte"/>
    <w:p>
      <w:pPr>
        <w:pStyle w:val="Heading2"/>
      </w:pPr>
      <w:r>
        <w:t xml:space="preserve">5. EVIDENCIAS DE SOPORTE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Diagrama de Flujo de Proceso:</w:t>
      </w:r>
      <w:r>
        <w:t xml:space="preserve"> </w:t>
      </w:r>
      <w:r>
        <w:t xml:space="preserve">No incluye etapa de pirolisis.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Inventario de Equipos:</w:t>
      </w:r>
      <w:r>
        <w:t xml:space="preserve"> </w:t>
      </w:r>
      <w:r>
        <w:t xml:space="preserve">No registra equipo de pirolisis.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Lista Maestra de Equipos:</w:t>
      </w:r>
      <w:r>
        <w:t xml:space="preserve"> </w:t>
      </w:r>
      <w:r>
        <w:t xml:space="preserve">Verificación física de planta confirma ausencia.</w:t>
      </w:r>
    </w:p>
    <w:bookmarkEnd w:id="13"/>
    <w:bookmarkStart w:id="14" w:name="criterio-de-reactivación"/>
    <w:p>
      <w:pPr>
        <w:pStyle w:val="Heading2"/>
      </w:pPr>
      <w:r>
        <w:t xml:space="preserve">6. CRITERIO DE REACTIVACIÓN</w:t>
      </w:r>
    </w:p>
    <w:p>
      <w:pPr>
        <w:pStyle w:val="FirstParagraph"/>
      </w:pPr>
      <w:r>
        <w:rPr>
          <w:b/>
          <w:bCs/>
        </w:rPr>
        <w:t xml:space="preserve">SI</w:t>
      </w:r>
      <w:r>
        <w:t xml:space="preserve"> </w:t>
      </w:r>
      <w:r>
        <w:t xml:space="preserve">en el futuro la empresa incorpora el proceso de pirolisis como parte de su operación:</w:t>
      </w:r>
      <w:r>
        <w:t xml:space="preserve"> </w:t>
      </w:r>
      <w:r>
        <w:t xml:space="preserve">1. Esta Acta pierde vigencia automáticamente.</w:t>
      </w:r>
      <w:r>
        <w:t xml:space="preserve"> </w:t>
      </w:r>
      <w:r>
        <w:t xml:space="preserve">2. Se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crear el</w:t>
      </w:r>
      <w:r>
        <w:t xml:space="preserve"> </w:t>
      </w:r>
      <w:r>
        <w:rPr>
          <w:rStyle w:val="VerbatimChar"/>
        </w:rPr>
        <w:t xml:space="preserve">POE_3.04_Pirolisis_V1.md</w:t>
      </w:r>
      <w:r>
        <w:t xml:space="preserve"> </w:t>
      </w:r>
      <w:r>
        <w:t xml:space="preserve">con sus formatos y registros correspondientes.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se permitirá</w:t>
      </w:r>
      <w:r>
        <w:t xml:space="preserve"> </w:t>
      </w:r>
      <w:r>
        <w:t xml:space="preserve">operar el equipo hasta que el POE esté aprobado y vigente.</w:t>
      </w:r>
    </w:p>
    <w:bookmarkEnd w:id="14"/>
    <w:bookmarkStart w:id="15" w:name="control-de-cambios"/>
    <w:p>
      <w:pPr>
        <w:pStyle w:val="Heading2"/>
      </w:pPr>
      <w:r>
        <w:t xml:space="preserve">7. CONTROL DE CAMBIOS</w:t>
      </w:r>
    </w:p>
    <w:p>
      <w:pPr>
        <w:pStyle w:val="FirstParagraph"/>
      </w:pPr>
      <w:r>
        <w:t xml:space="preserve">Versión | Fecha | Descripción |</w:t>
      </w:r>
      <w:r>
        <w:br/>
      </w:r>
      <w:r>
        <w:br/>
      </w:r>
    </w:p>
    <w:p>
      <w:pPr>
        <w:pStyle w:val="BodyText"/>
      </w:pPr>
      <w:r>
        <w:t xml:space="preserve">|:—|</w:t>
      </w:r>
      <w:r>
        <w:t xml:space="preserve"> </w:t>
      </w:r>
      <w:r>
        <w:t xml:space="preserve">| 01 | 2026-02-17 | Creación inicial del acta de no aplicabilidad. |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2026-02-18T10:33:50Z</dcterms:created>
  <dcterms:modified xsi:type="dcterms:W3CDTF">2026-02-18T10:33:50Z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