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5B2D4" w14:textId="77777777" w:rsidR="00C37965" w:rsidRDefault="00000000">
      <w:pPr>
        <w:pStyle w:val="Ttulo1"/>
      </w:pPr>
      <w:bookmarkStart w:id="0" w:name="Xf37648afd077e17d44a035b75480c90f3434c3d"/>
      <w:r>
        <w:t>PROCEDIMIENTO OPERATIVO ESTANDARIZADO: ENVASE Y ROTULADO</w:t>
      </w:r>
    </w:p>
    <w:p w14:paraId="272A4675" w14:textId="77777777" w:rsidR="00C37965" w:rsidRDefault="00000000">
      <w:pPr>
        <w:pStyle w:val="FirstParagraph"/>
      </w:pPr>
      <w:r>
        <w:t>CÓDIGO | VERSIÓN | VIGENCIA | PRÓXIMA REVISIÓN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>CGC-POE-3.10</w:t>
      </w:r>
      <w:r>
        <w:t xml:space="preserve"> | </w:t>
      </w:r>
      <w:r>
        <w:rPr>
          <w:b/>
          <w:bCs/>
        </w:rPr>
        <w:t>01</w:t>
      </w:r>
      <w:r>
        <w:t xml:space="preserve"> | </w:t>
      </w:r>
      <w:r>
        <w:rPr>
          <w:b/>
          <w:bCs/>
        </w:rPr>
        <w:t>2026-02-17</w:t>
      </w:r>
      <w:r>
        <w:t xml:space="preserve"> | </w:t>
      </w:r>
      <w:r>
        <w:rPr>
          <w:b/>
          <w:bCs/>
        </w:rPr>
        <w:t>12 meses o ante cambio regulatorio</w:t>
      </w:r>
      <w:r>
        <w:t xml:space="preserve"> |</w:t>
      </w:r>
    </w:p>
    <w:p w14:paraId="1BDDCF5F" w14:textId="77777777" w:rsidR="00C37965" w:rsidRDefault="00000000">
      <w:r>
        <w:pict w14:anchorId="354D12D7">
          <v:rect id="_x0000_i1025" style="width:0;height:1.5pt" o:hralign="center" o:hrstd="t" o:hr="t"/>
        </w:pict>
      </w:r>
    </w:p>
    <w:p w14:paraId="27693353" w14:textId="77777777" w:rsidR="00C37965" w:rsidRDefault="00000000">
      <w:pPr>
        <w:pStyle w:val="Ttulo2"/>
      </w:pPr>
      <w:bookmarkStart w:id="1" w:name="objetivo"/>
      <w:r>
        <w:t>1. OBJETIVO</w:t>
      </w:r>
    </w:p>
    <w:p w14:paraId="09E2B965" w14:textId="77777777" w:rsidR="00C37965" w:rsidRDefault="00000000">
      <w:pPr>
        <w:pStyle w:val="FirstParagraph"/>
      </w:pPr>
      <w:r>
        <w:t>Estandarizar las operaciones de envasado, pesado, sellado y etiquetado para garantizar que cada unidad comercial cumpla con el contenido neto declarado y posea la información legal obligatoria (Registro ICA, Lote, Fecha Vencimiento) para su trazabilidad y venta.</w:t>
      </w:r>
    </w:p>
    <w:p w14:paraId="59EEFAAF" w14:textId="77777777" w:rsidR="00C37965" w:rsidRDefault="00000000">
      <w:pPr>
        <w:pStyle w:val="Ttulo2"/>
      </w:pPr>
      <w:bookmarkStart w:id="2" w:name="alcance"/>
      <w:bookmarkEnd w:id="1"/>
      <w:r>
        <w:t>2. ALCANCE</w:t>
      </w:r>
    </w:p>
    <w:p w14:paraId="4013DEBF" w14:textId="77777777" w:rsidR="00C37965" w:rsidRDefault="00000000">
      <w:pPr>
        <w:pStyle w:val="FirstParagraph"/>
      </w:pPr>
      <w:r>
        <w:t xml:space="preserve">Este procedimiento aplica a todas las presentaciones comerciales (Sacos, Bolsas, Frascos, Garrafas) de fertilizantes y acondicionadores fabricados o re-envasados en la planta de </w:t>
      </w:r>
      <w:r>
        <w:rPr>
          <w:b/>
          <w:bCs/>
        </w:rPr>
        <w:t>CALFERQUIM S.A.S.</w:t>
      </w:r>
    </w:p>
    <w:p w14:paraId="555510B0" w14:textId="77777777" w:rsidR="00C37965" w:rsidRDefault="00000000">
      <w:pPr>
        <w:pStyle w:val="Ttulo2"/>
      </w:pPr>
      <w:bookmarkStart w:id="3" w:name="definiciones"/>
      <w:bookmarkEnd w:id="2"/>
      <w:r>
        <w:t>3. DEFINICIONES</w:t>
      </w:r>
    </w:p>
    <w:p w14:paraId="3B6E1ED5" w14:textId="77777777" w:rsidR="00C379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Envase Primario:</w:t>
      </w:r>
      <w:r>
        <w:t xml:space="preserve"> Recipiente que está en contacto directo con el producto.</w:t>
      </w:r>
    </w:p>
    <w:p w14:paraId="0AA1A4A1" w14:textId="77777777" w:rsidR="00C379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Contenido Neto:</w:t>
      </w:r>
      <w:r>
        <w:t xml:space="preserve"> Cantidad de producto contenido en el envase, excluyendo la tara.</w:t>
      </w:r>
    </w:p>
    <w:p w14:paraId="76356065" w14:textId="77777777" w:rsidR="00C379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Lote:</w:t>
      </w:r>
      <w:r>
        <w:t xml:space="preserve"> Código único de identificación que permite trazar la historia de fabricación.</w:t>
      </w:r>
    </w:p>
    <w:p w14:paraId="78BFED76" w14:textId="77777777" w:rsidR="00C379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Etiqueta Aprobada:</w:t>
      </w:r>
      <w:r>
        <w:t xml:space="preserve"> Arte gráfico autorizado por el ICA en la Resolución de Registro del producto.</w:t>
      </w:r>
    </w:p>
    <w:p w14:paraId="7605C1EC" w14:textId="77777777" w:rsidR="00C37965" w:rsidRDefault="00000000">
      <w:pPr>
        <w:pStyle w:val="Ttulo2"/>
      </w:pPr>
      <w:bookmarkStart w:id="4" w:name="documentos-de-referencia"/>
      <w:bookmarkEnd w:id="3"/>
      <w:r>
        <w:t>4. DOCUMENTOS DE REFERENCIA</w:t>
      </w:r>
    </w:p>
    <w:p w14:paraId="55ED76E4" w14:textId="77777777" w:rsidR="00C3796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Resolución ICA pv0 (Propuesta):</w:t>
      </w:r>
      <w:r>
        <w:t xml:space="preserve"> Anexo II-F “Requisitos de Etiquetado”.</w:t>
      </w:r>
    </w:p>
    <w:p w14:paraId="11F6E1EC" w14:textId="77777777" w:rsidR="00C3796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NTC 1000:</w:t>
      </w:r>
      <w:r>
        <w:t xml:space="preserve"> Sistema Internacional de Unidades.</w:t>
      </w:r>
    </w:p>
    <w:p w14:paraId="4745CD16" w14:textId="77777777" w:rsidR="00C3796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Resolución 16379 de 2003:</w:t>
      </w:r>
      <w:r>
        <w:t xml:space="preserve"> Control metrológico del contenido neto.</w:t>
      </w:r>
    </w:p>
    <w:p w14:paraId="5BD9A13A" w14:textId="77777777" w:rsidR="00C37965" w:rsidRDefault="00000000">
      <w:pPr>
        <w:pStyle w:val="Ttulo2"/>
      </w:pPr>
      <w:bookmarkStart w:id="5" w:name="X7d026e48587bff76c4ba88e8e147799b42f3a9f"/>
      <w:bookmarkEnd w:id="4"/>
      <w:r>
        <w:lastRenderedPageBreak/>
        <w:t>4.1. CONSIDERACIONES GMP (BUENAS PRÁCTICAS DE MANUFACTURA)</w:t>
      </w:r>
    </w:p>
    <w:p w14:paraId="470B1EEA" w14:textId="77777777" w:rsidR="00C37965" w:rsidRDefault="00000000">
      <w:pPr>
        <w:pStyle w:val="FirstParagraph"/>
      </w:pPr>
      <w:r>
        <w:t xml:space="preserve">Antes de iniciar el envasado, </w:t>
      </w:r>
      <w:r>
        <w:rPr>
          <w:b/>
          <w:bCs/>
        </w:rPr>
        <w:t>se debe</w:t>
      </w:r>
      <w:r>
        <w:t xml:space="preserve"> realizar un despeje de línea riguroso para retirar cualquier etiqueta, envase o producto del lote anterior. </w:t>
      </w:r>
      <w:r>
        <w:rPr>
          <w:b/>
          <w:bCs/>
        </w:rPr>
        <w:t>Se prohíbe</w:t>
      </w:r>
      <w:r>
        <w:t xml:space="preserve"> tener etiquetas de diferentes productos en la misma mesa de trabajo. Las balanzas utilizadas para el control de peso </w:t>
      </w:r>
      <w:r>
        <w:rPr>
          <w:b/>
          <w:bCs/>
        </w:rPr>
        <w:t>deben</w:t>
      </w:r>
      <w:r>
        <w:t xml:space="preserve"> verificarse con pesas patrón al inicio de cada turno y registrarse.</w:t>
      </w:r>
    </w:p>
    <w:p w14:paraId="10ADBF9E" w14:textId="3D068F4C" w:rsidR="00C37965" w:rsidRDefault="00000000">
      <w:pPr>
        <w:pStyle w:val="Ttulo2"/>
      </w:pPr>
      <w:bookmarkStart w:id="6" w:name="X89142c71e170216e29a3051bfe72221f0d57b2b"/>
      <w:bookmarkEnd w:id="5"/>
      <w:r>
        <w:t>5. RESPONSABILIDADES Y POLÍTICAS</w:t>
      </w:r>
    </w:p>
    <w:p w14:paraId="749CC43F" w14:textId="642244FC" w:rsidR="00C37965" w:rsidRDefault="00000000">
      <w:pPr>
        <w:pStyle w:val="Ttulo3"/>
      </w:pPr>
      <w:bookmarkStart w:id="7" w:name="jefe-de-producción"/>
      <w:r>
        <w:t xml:space="preserve">5.1. Jefe de </w:t>
      </w:r>
      <w:r w:rsidR="009E5E64">
        <w:t>Bodega</w:t>
      </w:r>
    </w:p>
    <w:p w14:paraId="3D219967" w14:textId="77777777" w:rsidR="00C3796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Debe</w:t>
      </w:r>
      <w:r>
        <w:t xml:space="preserve"> asegurar la disponibilidad de los materiales de empaque correctos según la Orden de Producción.</w:t>
      </w:r>
    </w:p>
    <w:p w14:paraId="4D06C947" w14:textId="229FD9BB" w:rsidR="00C3796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Es responsable</w:t>
      </w:r>
      <w:r>
        <w:t xml:space="preserve"> de configurar las balanzas para cumplir con el peso objetivo + sobrellenado de seguridad (si aplica).</w:t>
      </w:r>
    </w:p>
    <w:p w14:paraId="18647FDD" w14:textId="77777777" w:rsidR="00C37965" w:rsidRDefault="00000000">
      <w:pPr>
        <w:pStyle w:val="Ttulo3"/>
      </w:pPr>
      <w:bookmarkStart w:id="8" w:name="supervisor-de-línea"/>
      <w:bookmarkEnd w:id="7"/>
      <w:r>
        <w:t>5.2. Supervisor de Línea</w:t>
      </w:r>
    </w:p>
    <w:p w14:paraId="6289F74F" w14:textId="3269413F" w:rsidR="00C3796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Debe</w:t>
      </w:r>
      <w:r>
        <w:t xml:space="preserve"> verificar que el </w:t>
      </w:r>
      <w:r w:rsidR="009E5E64">
        <w:t>bigbag</w:t>
      </w:r>
      <w:r>
        <w:t xml:space="preserve"> tenga la fecha y lote correctos.</w:t>
      </w:r>
    </w:p>
    <w:p w14:paraId="61E16A1D" w14:textId="28ED6D7E" w:rsidR="00C3796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Tiene la autoridad</w:t>
      </w:r>
      <w:r>
        <w:t xml:space="preserve"> para detener la línea si detecta fallas en peso fuera de tolerancia.</w:t>
      </w:r>
    </w:p>
    <w:p w14:paraId="1FB0C144" w14:textId="77777777" w:rsidR="00C37965" w:rsidRDefault="00000000">
      <w:pPr>
        <w:pStyle w:val="Ttulo3"/>
      </w:pPr>
      <w:bookmarkStart w:id="9" w:name="operario-de-envase"/>
      <w:bookmarkEnd w:id="8"/>
      <w:r>
        <w:t>5.3. Operario de Envase</w:t>
      </w:r>
    </w:p>
    <w:p w14:paraId="5AF3024D" w14:textId="77777777" w:rsidR="00C3796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Debe</w:t>
      </w:r>
      <w:r>
        <w:t xml:space="preserve"> inspeccionar visualmente cada envase vacío para asegurar que esté limpio y sin defectos.</w:t>
      </w:r>
    </w:p>
    <w:p w14:paraId="37AC3172" w14:textId="77777777" w:rsidR="00C3796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 prohíbe</w:t>
      </w:r>
      <w:r>
        <w:t xml:space="preserve"> liberar unidades con peso inferior a la tolerancia mínima legal.</w:t>
      </w:r>
    </w:p>
    <w:p w14:paraId="3E73C030" w14:textId="0AF8E75B" w:rsidR="00C37965" w:rsidRDefault="00000000">
      <w:pPr>
        <w:pStyle w:val="Ttulo2"/>
      </w:pPr>
      <w:bookmarkStart w:id="10" w:name="procedimiento-estilo-glm-4.7"/>
      <w:bookmarkEnd w:id="6"/>
      <w:bookmarkEnd w:id="9"/>
      <w:r>
        <w:t xml:space="preserve">6. PROCEDIMIENTO </w:t>
      </w:r>
    </w:p>
    <w:p w14:paraId="17E15CF7" w14:textId="691F272B" w:rsidR="00C37965" w:rsidRDefault="00000000">
      <w:pPr>
        <w:pStyle w:val="Ttulo3"/>
      </w:pPr>
      <w:bookmarkStart w:id="11" w:name="alistamiento-de-línea"/>
      <w:r>
        <w:t xml:space="preserve">6.1. </w:t>
      </w:r>
      <w:bookmarkStart w:id="12" w:name="configuración-de-codificación"/>
      <w:bookmarkEnd w:id="11"/>
      <w:r>
        <w:t xml:space="preserve"> Configuración de Codificación</w:t>
      </w:r>
    </w:p>
    <w:p w14:paraId="3BB822E8" w14:textId="77777777" w:rsidR="00C3796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OPERARIO:</w:t>
      </w:r>
      <w:r>
        <w:t xml:space="preserve"> </w:t>
      </w:r>
      <w:r>
        <w:rPr>
          <w:b/>
          <w:bCs/>
        </w:rPr>
        <w:t>Ajustar</w:t>
      </w:r>
      <w:r>
        <w:t xml:space="preserve"> el codificador con:</w:t>
      </w:r>
    </w:p>
    <w:p w14:paraId="221FFA72" w14:textId="77777777" w:rsidR="00C37965" w:rsidRDefault="00000000">
      <w:pPr>
        <w:pStyle w:val="Compact"/>
        <w:numPr>
          <w:ilvl w:val="1"/>
          <w:numId w:val="11"/>
        </w:numPr>
      </w:pPr>
      <w:r>
        <w:t>Lote: [Según Orden]</w:t>
      </w:r>
    </w:p>
    <w:p w14:paraId="3FD7AAED" w14:textId="77777777" w:rsidR="00C37965" w:rsidRDefault="00000000">
      <w:pPr>
        <w:pStyle w:val="Compact"/>
        <w:numPr>
          <w:ilvl w:val="1"/>
          <w:numId w:val="11"/>
        </w:numPr>
      </w:pPr>
      <w:r>
        <w:t>Fecha Fab: [Hoy]</w:t>
      </w:r>
    </w:p>
    <w:p w14:paraId="4FC512D3" w14:textId="77777777" w:rsidR="00C37965" w:rsidRDefault="00000000">
      <w:pPr>
        <w:pStyle w:val="Compact"/>
        <w:numPr>
          <w:ilvl w:val="1"/>
          <w:numId w:val="11"/>
        </w:numPr>
      </w:pPr>
      <w:r>
        <w:t>Fecha Venc: [Según vida útil, ej: 2 años]</w:t>
      </w:r>
    </w:p>
    <w:p w14:paraId="5670027E" w14:textId="77777777" w:rsidR="00C3796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SUPERVISOR:</w:t>
      </w:r>
      <w:r>
        <w:t xml:space="preserve"> </w:t>
      </w:r>
      <w:r>
        <w:rPr>
          <w:b/>
          <w:bCs/>
        </w:rPr>
        <w:t>Imprimir</w:t>
      </w:r>
      <w:r>
        <w:t xml:space="preserve"> una prueba y verificar legibilidad. </w:t>
      </w:r>
      <w:r>
        <w:rPr>
          <w:b/>
          <w:bCs/>
        </w:rPr>
        <w:t>Firmar</w:t>
      </w:r>
      <w:r>
        <w:t xml:space="preserve"> el visto bueno en el registro.</w:t>
      </w:r>
    </w:p>
    <w:p w14:paraId="221C6D73" w14:textId="73381F5E" w:rsidR="00C37965" w:rsidRDefault="00000000">
      <w:pPr>
        <w:pStyle w:val="Ttulo3"/>
      </w:pPr>
      <w:bookmarkStart w:id="13" w:name="operación-de-llenado-y-pesado"/>
      <w:bookmarkEnd w:id="12"/>
      <w:r>
        <w:t>6.</w:t>
      </w:r>
      <w:r w:rsidR="009E5E64">
        <w:t>2</w:t>
      </w:r>
      <w:r>
        <w:t>. Operación de Llenado y Pesado</w:t>
      </w:r>
    </w:p>
    <w:p w14:paraId="379F87CE" w14:textId="77777777" w:rsidR="00C3796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OPERARIO:</w:t>
      </w:r>
      <w:r>
        <w:t xml:space="preserve"> </w:t>
      </w:r>
      <w:r>
        <w:rPr>
          <w:b/>
          <w:bCs/>
        </w:rPr>
        <w:t>Iniciar</w:t>
      </w:r>
      <w:r>
        <w:t xml:space="preserve"> el llenado de envases.</w:t>
      </w:r>
    </w:p>
    <w:p w14:paraId="7E29B80F" w14:textId="77777777" w:rsidR="00C3796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OPERARIO:</w:t>
      </w:r>
      <w:r>
        <w:t xml:space="preserve"> </w:t>
      </w:r>
      <w:r>
        <w:rPr>
          <w:b/>
          <w:bCs/>
        </w:rPr>
        <w:t>Verificar</w:t>
      </w:r>
      <w:r>
        <w:t xml:space="preserve"> el peso del 100% de las unidades (si es manual) o por muestreo frecuente (si es automático).</w:t>
      </w:r>
    </w:p>
    <w:p w14:paraId="21870991" w14:textId="77777777" w:rsidR="00C37965" w:rsidRDefault="00000000">
      <w:pPr>
        <w:pStyle w:val="Compact"/>
        <w:numPr>
          <w:ilvl w:val="1"/>
          <w:numId w:val="13"/>
        </w:numPr>
      </w:pPr>
      <w:r>
        <w:rPr>
          <w:i/>
          <w:iCs/>
        </w:rPr>
        <w:lastRenderedPageBreak/>
        <w:t>Tolerancia:</w:t>
      </w:r>
      <w:r>
        <w:t xml:space="preserve"> El peso promedio debe ser ≥ Contenido Neto Declarado. Ninguna unidad puede estar por debajo de la Tolerancia Mínima (T2).</w:t>
      </w:r>
    </w:p>
    <w:p w14:paraId="5486CBBA" w14:textId="77777777" w:rsidR="00C3796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OPERARIO:</w:t>
      </w:r>
      <w:r>
        <w:t xml:space="preserve"> </w:t>
      </w:r>
      <w:r>
        <w:rPr>
          <w:b/>
          <w:bCs/>
        </w:rPr>
        <w:t>Cerrar/Sellar</w:t>
      </w:r>
      <w:r>
        <w:t xml:space="preserve"> el envase inmediatamente para evitar contaminación o derrames.</w:t>
      </w:r>
    </w:p>
    <w:p w14:paraId="5242866C" w14:textId="77777777" w:rsidR="00C37965" w:rsidRDefault="00000000">
      <w:pPr>
        <w:pStyle w:val="Ttulo3"/>
      </w:pPr>
      <w:bookmarkStart w:id="14" w:name="etiquetado-y-embalaje-final"/>
      <w:bookmarkEnd w:id="13"/>
      <w:r>
        <w:t>6.4. Etiquetado y Embalaje Final</w:t>
      </w:r>
    </w:p>
    <w:p w14:paraId="5D2BADA2" w14:textId="12DD5BBE" w:rsidR="00C3796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OPERARIO:</w:t>
      </w:r>
      <w:r>
        <w:t xml:space="preserve"> </w:t>
      </w:r>
      <w:r>
        <w:rPr>
          <w:b/>
          <w:bCs/>
        </w:rPr>
        <w:t>Adherir</w:t>
      </w:r>
      <w:r>
        <w:t xml:space="preserve"> la etiqueta o verificar </w:t>
      </w:r>
      <w:r w:rsidR="009E5E64">
        <w:t xml:space="preserve">el marcado </w:t>
      </w:r>
      <w:r>
        <w:t>en el saco.</w:t>
      </w:r>
    </w:p>
    <w:p w14:paraId="6FB0F5DE" w14:textId="77777777" w:rsidR="00C37965" w:rsidRDefault="00000000">
      <w:pPr>
        <w:pStyle w:val="Compact"/>
        <w:numPr>
          <w:ilvl w:val="1"/>
          <w:numId w:val="15"/>
        </w:numPr>
      </w:pPr>
      <w:r>
        <w:rPr>
          <w:i/>
          <w:iCs/>
        </w:rPr>
        <w:t>Control:</w:t>
      </w:r>
      <w:r>
        <w:t xml:space="preserve"> La etiqueta no debe estar torcida, arrugada o ilegible.</w:t>
      </w:r>
    </w:p>
    <w:p w14:paraId="72D53391" w14:textId="48B33150" w:rsidR="00C3796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OPERARIO:</w:t>
      </w:r>
      <w:r>
        <w:t xml:space="preserve"> </w:t>
      </w:r>
      <w:r>
        <w:rPr>
          <w:b/>
          <w:bCs/>
        </w:rPr>
        <w:t>Paletizar</w:t>
      </w:r>
      <w:r>
        <w:t xml:space="preserve"> el producto terminado e identificar la estiba</w:t>
      </w:r>
      <w:r w:rsidR="009E5E64">
        <w:t>.</w:t>
      </w:r>
    </w:p>
    <w:p w14:paraId="78282D7F" w14:textId="77777777" w:rsidR="00C3796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PRODUCCIÓN:</w:t>
      </w:r>
      <w:r>
        <w:t xml:space="preserve"> </w:t>
      </w:r>
      <w:r>
        <w:rPr>
          <w:b/>
          <w:bCs/>
        </w:rPr>
        <w:t>Notificar</w:t>
      </w:r>
      <w:r>
        <w:t xml:space="preserve"> fin de lote a Calidad para inicio del proceso de Liberación (POE 3.12).</w:t>
      </w:r>
    </w:p>
    <w:p w14:paraId="386649AA" w14:textId="77777777" w:rsidR="00C37965" w:rsidRDefault="00000000">
      <w:pPr>
        <w:pStyle w:val="Ttulo2"/>
      </w:pPr>
      <w:bookmarkStart w:id="15" w:name="criterios-de-control-y-aceptación"/>
      <w:bookmarkEnd w:id="10"/>
      <w:bookmarkEnd w:id="14"/>
      <w:r>
        <w:t>7. CRITERIOS DE CONTROL Y ACEPTACIÓN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C37965" w14:paraId="30363F54" w14:textId="77777777" w:rsidTr="009E5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8" w:type="dxa"/>
          </w:tcPr>
          <w:p w14:paraId="4724C138" w14:textId="77777777" w:rsidR="00C37965" w:rsidRDefault="00000000">
            <w:pPr>
              <w:pStyle w:val="Compact"/>
            </w:pPr>
            <w:r>
              <w:t>VARIABLE</w:t>
            </w:r>
          </w:p>
        </w:tc>
        <w:tc>
          <w:tcPr>
            <w:tcW w:w="3018" w:type="dxa"/>
          </w:tcPr>
          <w:p w14:paraId="68155F9A" w14:textId="77777777" w:rsidR="00C37965" w:rsidRDefault="00000000">
            <w:pPr>
              <w:pStyle w:val="Compact"/>
            </w:pPr>
            <w:r>
              <w:t>CRITERIO</w:t>
            </w:r>
          </w:p>
        </w:tc>
        <w:tc>
          <w:tcPr>
            <w:tcW w:w="3018" w:type="dxa"/>
          </w:tcPr>
          <w:p w14:paraId="1701841E" w14:textId="77777777" w:rsidR="00C37965" w:rsidRDefault="00000000">
            <w:pPr>
              <w:pStyle w:val="Compact"/>
            </w:pPr>
            <w:r>
              <w:t>ACCIÓN SI FALLA</w:t>
            </w:r>
          </w:p>
        </w:tc>
      </w:tr>
      <w:tr w:rsidR="00C37965" w14:paraId="613268F2" w14:textId="77777777" w:rsidTr="009E5E64">
        <w:tc>
          <w:tcPr>
            <w:tcW w:w="3018" w:type="dxa"/>
          </w:tcPr>
          <w:p w14:paraId="2C28377C" w14:textId="77777777" w:rsidR="00C37965" w:rsidRDefault="00000000">
            <w:pPr>
              <w:pStyle w:val="Compact"/>
            </w:pPr>
            <w:r>
              <w:rPr>
                <w:b/>
                <w:bCs/>
              </w:rPr>
              <w:t>Peso Individual</w:t>
            </w:r>
          </w:p>
        </w:tc>
        <w:tc>
          <w:tcPr>
            <w:tcW w:w="3018" w:type="dxa"/>
          </w:tcPr>
          <w:p w14:paraId="1DE54BD8" w14:textId="77777777" w:rsidR="00C37965" w:rsidRDefault="00000000">
            <w:pPr>
              <w:pStyle w:val="Compact"/>
            </w:pPr>
            <w:r>
              <w:t>± 1% del Contenido Neto.</w:t>
            </w:r>
          </w:p>
        </w:tc>
        <w:tc>
          <w:tcPr>
            <w:tcW w:w="3018" w:type="dxa"/>
          </w:tcPr>
          <w:p w14:paraId="009B4F00" w14:textId="77777777" w:rsidR="00C37965" w:rsidRDefault="00000000">
            <w:pPr>
              <w:pStyle w:val="Compact"/>
            </w:pPr>
            <w:r>
              <w:t>Ajustar dosificadora. Re-pesar lote al 100%.</w:t>
            </w:r>
          </w:p>
        </w:tc>
      </w:tr>
      <w:tr w:rsidR="00C37965" w14:paraId="00C61AC0" w14:textId="77777777" w:rsidTr="009E5E64">
        <w:tc>
          <w:tcPr>
            <w:tcW w:w="3018" w:type="dxa"/>
          </w:tcPr>
          <w:p w14:paraId="65F103B9" w14:textId="77777777" w:rsidR="00C37965" w:rsidRDefault="00000000">
            <w:pPr>
              <w:pStyle w:val="Compact"/>
            </w:pPr>
            <w:r>
              <w:rPr>
                <w:b/>
                <w:bCs/>
              </w:rPr>
              <w:t>Legibilidad Lote/Venc</w:t>
            </w:r>
          </w:p>
        </w:tc>
        <w:tc>
          <w:tcPr>
            <w:tcW w:w="3018" w:type="dxa"/>
          </w:tcPr>
          <w:p w14:paraId="6A28C684" w14:textId="77777777" w:rsidR="00C37965" w:rsidRDefault="00000000">
            <w:pPr>
              <w:pStyle w:val="Compact"/>
            </w:pPr>
            <w:r>
              <w:t>100% legible y adherido.</w:t>
            </w:r>
          </w:p>
        </w:tc>
        <w:tc>
          <w:tcPr>
            <w:tcW w:w="3018" w:type="dxa"/>
          </w:tcPr>
          <w:p w14:paraId="3954AEE3" w14:textId="77777777" w:rsidR="00C37965" w:rsidRDefault="00000000">
            <w:pPr>
              <w:pStyle w:val="Compact"/>
            </w:pPr>
            <w:r>
              <w:t>Borrar y re-imprimir. Rechazar envase.</w:t>
            </w:r>
          </w:p>
        </w:tc>
      </w:tr>
    </w:tbl>
    <w:p w14:paraId="3DFC1748" w14:textId="77777777" w:rsidR="00C37965" w:rsidRDefault="00000000">
      <w:pPr>
        <w:pStyle w:val="Ttulo2"/>
      </w:pPr>
      <w:bookmarkStart w:id="16" w:name="registros-asociados"/>
      <w:bookmarkEnd w:id="15"/>
      <w:r>
        <w:t>8. REGISTROS ASOCIADOS</w:t>
      </w:r>
    </w:p>
    <w:p w14:paraId="0B15E899" w14:textId="77777777" w:rsidR="00C37965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Formato_Control_Envase_V1.csv</w:t>
      </w:r>
      <w:r>
        <w:t>: Registro de pesos y verificación de etiquetas.</w:t>
      </w:r>
    </w:p>
    <w:p w14:paraId="6288E070" w14:textId="77777777" w:rsidR="00C37965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Registro_Envase_V1.csv</w:t>
      </w:r>
      <w:r>
        <w:t>: Consolidado de unidades producidas por turno.</w:t>
      </w:r>
    </w:p>
    <w:p w14:paraId="3EFEDD96" w14:textId="3E3DEF64" w:rsidR="00C37965" w:rsidRDefault="009E5E64">
      <w:pPr>
        <w:pStyle w:val="Ttulo2"/>
      </w:pPr>
      <w:bookmarkStart w:id="17" w:name="control-de-cambios"/>
      <w:bookmarkEnd w:id="16"/>
      <w:r>
        <w:t>9</w:t>
      </w:r>
      <w:r w:rsidR="00000000">
        <w:t>. CONTROL DE CAMBIOS</w:t>
      </w:r>
    </w:p>
    <w:p w14:paraId="52878D85" w14:textId="77777777" w:rsidR="00C37965" w:rsidRDefault="00000000">
      <w:pPr>
        <w:pStyle w:val="FirstParagraph"/>
      </w:pPr>
      <w:r>
        <w:t>VERSIÓN | FECHA | DESCRIPCIÓN DEL CAMBIO |</w:t>
      </w:r>
      <w:r>
        <w:br/>
      </w:r>
      <w:bookmarkEnd w:id="0"/>
      <w:bookmarkEnd w:id="17"/>
    </w:p>
    <w:sectPr w:rsidR="00C3796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9D0E7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78E4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B124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3034B3A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6"/>
    <w:multiLevelType w:val="multilevel"/>
    <w:tmpl w:val="AD84560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9"/>
    <w:multiLevelType w:val="multilevel"/>
    <w:tmpl w:val="2A6861CE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" w16cid:durableId="1607881273">
    <w:abstractNumId w:val="0"/>
  </w:num>
  <w:num w:numId="2" w16cid:durableId="1174537666">
    <w:abstractNumId w:val="1"/>
  </w:num>
  <w:num w:numId="3" w16cid:durableId="1715693792">
    <w:abstractNumId w:val="1"/>
  </w:num>
  <w:num w:numId="4" w16cid:durableId="102700471">
    <w:abstractNumId w:val="1"/>
  </w:num>
  <w:num w:numId="5" w16cid:durableId="1659110171">
    <w:abstractNumId w:val="1"/>
  </w:num>
  <w:num w:numId="6" w16cid:durableId="2129661920">
    <w:abstractNumId w:val="1"/>
  </w:num>
  <w:num w:numId="7" w16cid:durableId="21248367">
    <w:abstractNumId w:val="1"/>
  </w:num>
  <w:num w:numId="8" w16cid:durableId="15161934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3449942">
    <w:abstractNumId w:val="1"/>
  </w:num>
  <w:num w:numId="10" w16cid:durableId="118885263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 w16cid:durableId="2115052355">
    <w:abstractNumId w:val="1"/>
  </w:num>
  <w:num w:numId="12" w16cid:durableId="154378664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 w16cid:durableId="1927955782">
    <w:abstractNumId w:val="1"/>
  </w:num>
  <w:num w:numId="14" w16cid:durableId="744455490">
    <w:abstractNumId w:val="5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5" w16cid:durableId="1364360633">
    <w:abstractNumId w:val="1"/>
  </w:num>
  <w:num w:numId="16" w16cid:durableId="1327778759">
    <w:abstractNumId w:val="1"/>
  </w:num>
  <w:num w:numId="17" w16cid:durableId="943148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965"/>
    <w:rsid w:val="009E5E64"/>
    <w:rsid w:val="00C37965"/>
    <w:rsid w:val="00F6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E7713B"/>
  <w15:docId w15:val="{125D7011-1C85-4C37-A39F-0EA77A0E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578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DIRECCION TECNICA</cp:lastModifiedBy>
  <cp:revision>2</cp:revision>
  <dcterms:created xsi:type="dcterms:W3CDTF">2026-02-18T10:33:00Z</dcterms:created>
  <dcterms:modified xsi:type="dcterms:W3CDTF">2026-02-18T14:41:00Z</dcterms:modified>
</cp:coreProperties>
</file>