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6ce16e358b5834bb98ce50bf488976a90222a5"/>
    <w:p>
      <w:pPr>
        <w:pStyle w:val="Heading1"/>
      </w:pPr>
      <w:r>
        <w:t xml:space="preserve">PROCEDIMIENTO OPERATIVO ESTANDARIZADO: CODIFICACION DE LOTES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POE-3.11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Estandarizar la asignacion y marcado del codigo de lote para asegurar trazabilidad del producto terminado.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lotes de producto terminado fabricados en CALFERQUIM S.A.S.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Codigo de lote: Identificador unico asignado a cada lote de fabricacion.</w:t>
      </w:r>
    </w:p>
    <w:p>
      <w:pPr>
        <w:pStyle w:val="Compact"/>
        <w:numPr>
          <w:ilvl w:val="0"/>
          <w:numId w:val="1001"/>
        </w:numPr>
      </w:pPr>
      <w:r>
        <w:t xml:space="preserve">Marcado: Impresion o inscripcion del codigo de lote sobre el saco o bigbag.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POE 3.12 Liberacion de Lotes.</w:t>
      </w:r>
    </w:p>
    <w:p>
      <w:pPr>
        <w:pStyle w:val="Compact"/>
        <w:numPr>
          <w:ilvl w:val="0"/>
          <w:numId w:val="1002"/>
        </w:numPr>
      </w:pPr>
      <w:r>
        <w:t xml:space="preserve">Anexo 1: Estructura oficial del codigo de lote.</w:t>
      </w:r>
    </w:p>
    <w:bookmarkEnd w:id="12"/>
    <w:bookmarkStart w:id="13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Bodega asigna el codigo de lote al generar la orden de produccion y verifica que no sea duplicado.</w:t>
      </w:r>
    </w:p>
    <w:p>
      <w:pPr>
        <w:pStyle w:val="Compact"/>
        <w:numPr>
          <w:ilvl w:val="0"/>
          <w:numId w:val="1003"/>
        </w:numPr>
      </w:pPr>
      <w:r>
        <w:t xml:space="preserve">Bodega ejecuta el marcado del codigo sobre el empaque (saco o bigbag).</w:t>
      </w:r>
    </w:p>
    <w:p>
      <w:pPr>
        <w:pStyle w:val="Compact"/>
        <w:numPr>
          <w:ilvl w:val="0"/>
          <w:numId w:val="1003"/>
        </w:numPr>
      </w:pPr>
      <w:r>
        <w:t xml:space="preserve">Alistamiento confirma que el codigo marcado coincide con el de la orden de produccion.</w:t>
      </w:r>
    </w:p>
    <w:p>
      <w:pPr>
        <w:pStyle w:val="Compact"/>
        <w:numPr>
          <w:ilvl w:val="0"/>
          <w:numId w:val="1003"/>
        </w:numPr>
      </w:pPr>
      <w:r>
        <w:t xml:space="preserve">Se prohibe despachar producto sin codigo de lote marcado y confirmado.</w:t>
      </w:r>
    </w:p>
    <w:bookmarkEnd w:id="13"/>
    <w:bookmarkStart w:id="14" w:name="procedimiento"/>
    <w:p>
      <w:pPr>
        <w:pStyle w:val="Heading2"/>
      </w:pPr>
      <w:r>
        <w:t xml:space="preserve">6. PROCEDIMIENTO</w:t>
      </w:r>
    </w:p>
    <w:p>
      <w:pPr>
        <w:pStyle w:val="Compact"/>
        <w:numPr>
          <w:ilvl w:val="0"/>
          <w:numId w:val="1004"/>
        </w:numPr>
      </w:pPr>
      <w:r>
        <w:t xml:space="preserve">BODEGA: Al generar la orden de produccion, asignar el codigo de lote segun la estructura definida en el Anexo 1.</w:t>
      </w:r>
    </w:p>
    <w:p>
      <w:pPr>
        <w:pStyle w:val="Compact"/>
        <w:numPr>
          <w:ilvl w:val="0"/>
          <w:numId w:val="1004"/>
        </w:numPr>
      </w:pPr>
      <w:r>
        <w:t xml:space="preserve">BODEGA: Verificar que el codigo asignado no exista ya en el periodo vigente (no duplicidad).</w:t>
      </w:r>
    </w:p>
    <w:p>
      <w:pPr>
        <w:pStyle w:val="Compact"/>
        <w:numPr>
          <w:ilvl w:val="0"/>
          <w:numId w:val="1004"/>
        </w:numPr>
      </w:pPr>
      <w:r>
        <w:t xml:space="preserve">BODEGA: Registrar el codigo en la orden de produccion.</w:t>
      </w:r>
    </w:p>
    <w:p>
      <w:pPr>
        <w:pStyle w:val="Compact"/>
        <w:numPr>
          <w:ilvl w:val="0"/>
          <w:numId w:val="1004"/>
        </w:numPr>
      </w:pPr>
      <w:r>
        <w:t xml:space="preserve">BODEGA: Ejecutar el marcado del codigo de lote sobre cada saco o bigbag del lote.</w:t>
      </w:r>
    </w:p>
    <w:p>
      <w:pPr>
        <w:pStyle w:val="Compact"/>
        <w:numPr>
          <w:ilvl w:val="0"/>
          <w:numId w:val="1004"/>
        </w:numPr>
      </w:pPr>
      <w:r>
        <w:t xml:space="preserve">ALISTAMIENTO: Confirmar que el codigo marcado en el empaque coincide exactamente con el registrado en la orden de produccion.</w:t>
      </w:r>
    </w:p>
    <w:p>
      <w:pPr>
        <w:pStyle w:val="Compact"/>
        <w:numPr>
          <w:ilvl w:val="0"/>
          <w:numId w:val="1004"/>
        </w:numPr>
      </w:pPr>
      <w:r>
        <w:t xml:space="preserve">Si hay discrepancia: corregir el marcado antes de continuar. Reportar al Jefe de Produccion.</w:t>
      </w:r>
    </w:p>
    <w:bookmarkEnd w:id="14"/>
    <w:bookmarkStart w:id="15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Unicidad</w:t>
            </w:r>
          </w:p>
        </w:tc>
        <w:tc>
          <w:tcPr/>
          <w:p>
            <w:pPr>
              <w:pStyle w:val="Compact"/>
            </w:pPr>
            <w:r>
              <w:t xml:space="preserve">Sin codigos duplicados en el periodo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</w:t>
            </w:r>
          </w:p>
        </w:tc>
        <w:tc>
          <w:tcPr/>
          <w:p>
            <w:pPr>
              <w:pStyle w:val="Compact"/>
            </w:pPr>
            <w:r>
              <w:t xml:space="preserve">Cumple formato definido en Anexo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Consistencia</w:t>
            </w:r>
          </w:p>
        </w:tc>
        <w:tc>
          <w:tcPr/>
          <w:p>
            <w:pPr>
              <w:pStyle w:val="Compact"/>
            </w:pPr>
            <w:r>
              <w:t xml:space="preserve">Codigo identico en orden de produccion y empaque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Legibilidad</w:t>
            </w:r>
          </w:p>
        </w:tc>
        <w:tc>
          <w:tcPr/>
          <w:p>
            <w:pPr>
              <w:pStyle w:val="Compact"/>
            </w:pPr>
            <w:r>
              <w:t xml:space="preserve">Codigo legible en todos los empaques del lote</w:t>
            </w:r>
          </w:p>
        </w:tc>
      </w:tr>
    </w:tbl>
    <w:bookmarkEnd w:id="15"/>
    <w:bookmarkStart w:id="16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5"/>
        </w:numPr>
      </w:pPr>
      <w:r>
        <w:t xml:space="preserve">Orden de produccion (campo codigo de lote).</w:t>
      </w:r>
    </w:p>
    <w:bookmarkEnd w:id="16"/>
    <w:bookmarkStart w:id="17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1: Estructura oficial del codigo de lote.</w:t>
      </w:r>
    </w:p>
    <w:bookmarkEnd w:id="17"/>
    <w:bookmarkStart w:id="18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Ajuste operacional: asignacion y verificacion de no duplicidad a cargo de Bodega al generar la orden de produccion. Bodega ejecuta el marcado. Alistamiento confirma el codigo. Se elimina rol de Calidad en generacion y consolidacion de lotes.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2026-03-05T10:48:09Z</dcterms:created>
  <dcterms:modified xsi:type="dcterms:W3CDTF">2026-03-05T10:48:09Z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