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icha-de-produccion---fe-sulfato-zinc-22"/>
    <w:p>
      <w:pPr>
        <w:pStyle w:val="Heading1"/>
      </w:pPr>
      <w:r>
        <w:t xml:space="preserve">Ficha de Produccion - FE SULFATO ZINC 22</w:t>
      </w:r>
    </w:p>
    <w:p>
      <w:pPr>
        <w:pStyle w:val="Compact"/>
        <w:numPr>
          <w:ilvl w:val="0"/>
          <w:numId w:val="1001"/>
        </w:numPr>
      </w:pPr>
      <w:r>
        <w:t xml:space="preserve">Items: 643, 997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2025-07-12 a 2026-02-13</w:t>
      </w:r>
    </w:p>
    <w:p>
      <w:pPr>
        <w:pStyle w:val="Compact"/>
        <w:numPr>
          <w:ilvl w:val="0"/>
          <w:numId w:val="1001"/>
        </w:numPr>
      </w:pPr>
      <w:r>
        <w:t xml:space="preserve">Grupo de velocidad: C - Lento</w:t>
      </w:r>
    </w:p>
    <w:p>
      <w:pPr>
        <w:pStyle w:val="Compact"/>
        <w:numPr>
          <w:ilvl w:val="0"/>
          <w:numId w:val="1001"/>
        </w:numPr>
      </w:pPr>
      <w:r>
        <w:t xml:space="preserve">Turnos totales: 16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177.134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42,90</w:t>
            </w:r>
          </w:p>
        </w:tc>
        <w:tc>
          <w:tcPr/>
          <w:p>
            <w:pPr>
              <w:pStyle w:val="Compact"/>
            </w:pPr>
            <w:r>
              <w:t xml:space="preserve">40,14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42,90</w:t>
            </w:r>
          </w:p>
        </w:tc>
        <w:tc>
          <w:tcPr/>
          <w:p>
            <w:pPr>
              <w:pStyle w:val="Compact"/>
            </w:pPr>
            <w:r>
              <w:t xml:space="preserve">34,90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42,90</w:t>
            </w:r>
          </w:p>
        </w:tc>
        <w:tc>
          <w:tcPr/>
          <w:p>
            <w:pPr>
              <w:pStyle w:val="Compact"/>
            </w:pPr>
            <w:r>
              <w:t xml:space="preserve">26,80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42,90</w:t>
            </w:r>
          </w:p>
        </w:tc>
        <w:tc>
          <w:tcPr/>
          <w:p>
            <w:pPr>
              <w:pStyle w:val="Compact"/>
            </w:pPr>
            <w:r>
              <w:t xml:space="preserve">58,90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0,00</w:t>
            </w:r>
          </w:p>
        </w:tc>
        <w:tc>
          <w:tcPr/>
          <w:p>
            <w:pPr>
              <w:pStyle w:val="Compact"/>
            </w:pPr>
            <w:r>
              <w:t xml:space="preserve">11,51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7.000</w:t>
            </w:r>
          </w:p>
        </w:tc>
        <w:tc>
          <w:tcPr/>
          <w:p>
            <w:pPr>
              <w:pStyle w:val="Compact"/>
            </w:pPr>
            <w:r>
              <w:t xml:space="preserve">11.342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7.000</w:t>
            </w:r>
          </w:p>
        </w:tc>
        <w:tc>
          <w:tcPr/>
          <w:p>
            <w:pPr>
              <w:pStyle w:val="Compact"/>
            </w:pPr>
            <w:r>
              <w:t xml:space="preserve">170.134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1.400</w:t>
            </w:r>
          </w:p>
        </w:tc>
        <w:tc>
          <w:tcPr/>
          <w:p>
            <w:pPr>
              <w:pStyle w:val="Compact"/>
            </w:pPr>
            <w:r>
              <w:t xml:space="preserve">1.602</w:t>
            </w:r>
          </w:p>
        </w:tc>
      </w:tr>
    </w:tbl>
    <w:bookmarkEnd w:id="9"/>
    <w:bookmarkStart w:id="10" w:name="caracteristicas-del-producto"/>
    <w:p>
      <w:pPr>
        <w:pStyle w:val="Heading2"/>
      </w:pPr>
      <w:r>
        <w:t xml:space="preserve">Caracteristicas del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Humedad</w:t>
            </w:r>
          </w:p>
        </w:tc>
        <w:tc>
          <w:tcPr/>
          <w:p>
            <w:pPr>
              <w:pStyle w:val="Compact"/>
            </w:pPr>
            <w:r>
              <w:t xml:space="preserve">Dureza</w:t>
            </w:r>
          </w:p>
        </w:tc>
        <w:tc>
          <w:tcPr/>
          <w:p>
            <w:pPr>
              <w:pStyle w:val="Compact"/>
            </w:pPr>
            <w:r>
              <w:t xml:space="preserve">Tamiz 4</w:t>
            </w:r>
          </w:p>
        </w:tc>
        <w:tc>
          <w:tcPr/>
          <w:p>
            <w:pPr>
              <w:pStyle w:val="Compact"/>
            </w:pPr>
            <w:r>
              <w:t xml:space="preserve">Tamiz 5</w:t>
            </w:r>
          </w:p>
        </w:tc>
        <w:tc>
          <w:tcPr/>
          <w:p>
            <w:pPr>
              <w:pStyle w:val="Compact"/>
            </w:pPr>
            <w:r>
              <w:t xml:space="preserve">Tamiz 10</w:t>
            </w:r>
          </w:p>
        </w:tc>
        <w:tc>
          <w:tcPr/>
          <w:p>
            <w:pPr>
              <w:pStyle w:val="Compact"/>
            </w:pPr>
            <w:r>
              <w:t xml:space="preserve">Tamiz 18</w:t>
            </w:r>
          </w:p>
        </w:tc>
        <w:tc>
          <w:tcPr/>
          <w:p>
            <w:pPr>
              <w:pStyle w:val="Compact"/>
            </w:pPr>
            <w:r>
              <w:t xml:space="preserve">Bandeja</w:t>
            </w:r>
          </w:p>
        </w:tc>
        <w:tc>
          <w:tcPr/>
          <w:p>
            <w:pPr>
              <w:pStyle w:val="Compact"/>
            </w:pPr>
            <w:r>
              <w:t xml:space="preserve">Abrasion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643</w:t>
            </w:r>
          </w:p>
        </w:tc>
        <w:tc>
          <w:tcPr/>
          <w:p>
            <w:pPr>
              <w:pStyle w:val="Compact"/>
            </w:pPr>
            <w:r>
              <w:t xml:space="preserve">6,22%</w:t>
            </w:r>
          </w:p>
        </w:tc>
        <w:tc>
          <w:tcPr/>
          <w:p>
            <w:pPr>
              <w:pStyle w:val="Compact"/>
            </w:pPr>
            <w:r>
              <w:t xml:space="preserve">0,00975</w:t>
            </w:r>
          </w:p>
        </w:tc>
        <w:tc>
          <w:tcPr/>
          <w:p>
            <w:pPr>
              <w:pStyle w:val="Compact"/>
            </w:pPr>
            <w:r>
              <w:t xml:space="preserve">1,23%</w:t>
            </w:r>
          </w:p>
        </w:tc>
        <w:tc>
          <w:tcPr/>
          <w:p>
            <w:pPr>
              <w:pStyle w:val="Compact"/>
            </w:pPr>
            <w:r>
              <w:t xml:space="preserve">11,08%</w:t>
            </w:r>
          </w:p>
        </w:tc>
        <w:tc>
          <w:tcPr/>
          <w:p>
            <w:pPr>
              <w:pStyle w:val="Compact"/>
            </w:pPr>
            <w:r>
              <w:t xml:space="preserve">84,86%</w:t>
            </w:r>
          </w:p>
        </w:tc>
        <w:tc>
          <w:tcPr/>
          <w:p>
            <w:pPr>
              <w:pStyle w:val="Compact"/>
            </w:pPr>
            <w:r>
              <w:t xml:space="preserve">2,33%</w:t>
            </w:r>
          </w:p>
        </w:tc>
        <w:tc>
          <w:tcPr/>
          <w:p>
            <w:pPr>
              <w:pStyle w:val="Compact"/>
            </w:pPr>
            <w:r>
              <w:t xml:space="preserve">0,49%</w:t>
            </w:r>
          </w:p>
        </w:tc>
        <w:tc>
          <w:tcPr/>
          <w:p>
            <w:pPr>
              <w:pStyle w:val="Compact"/>
            </w:pPr>
            <w:r>
              <w:t xml:space="preserve">2,0%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997</w:t>
            </w:r>
          </w:p>
        </w:tc>
        <w:tc>
          <w:tcPr/>
          <w:p>
            <w:pPr>
              <w:pStyle w:val="Compact"/>
            </w:pPr>
            <w:r>
              <w:t xml:space="preserve">6,17%</w:t>
            </w:r>
          </w:p>
        </w:tc>
        <w:tc>
          <w:tcPr/>
          <w:p>
            <w:pPr>
              <w:pStyle w:val="Compact"/>
            </w:pPr>
            <w:r>
              <w:t xml:space="preserve">3,105909091</w:t>
            </w:r>
          </w:p>
        </w:tc>
        <w:tc>
          <w:tcPr/>
          <w:p>
            <w:pPr>
              <w:pStyle w:val="Compact"/>
            </w:pPr>
            <w:r>
              <w:t xml:space="preserve">1,85%</w:t>
            </w:r>
          </w:p>
        </w:tc>
        <w:tc>
          <w:tcPr/>
          <w:p>
            <w:pPr>
              <w:pStyle w:val="Compact"/>
            </w:pPr>
            <w:r>
              <w:t xml:space="preserve">16,90%</w:t>
            </w:r>
          </w:p>
        </w:tc>
        <w:tc>
          <w:tcPr/>
          <w:p>
            <w:pPr>
              <w:pStyle w:val="Compact"/>
            </w:pPr>
            <w:r>
              <w:t xml:space="preserve">79,35%</w:t>
            </w:r>
          </w:p>
        </w:tc>
        <w:tc>
          <w:tcPr/>
          <w:p>
            <w:pPr>
              <w:pStyle w:val="Compact"/>
            </w:pPr>
            <w:r>
              <w:t xml:space="preserve">1,35%</w:t>
            </w:r>
          </w:p>
        </w:tc>
        <w:tc>
          <w:tcPr/>
          <w:p>
            <w:pPr>
              <w:pStyle w:val="Compact"/>
            </w:pPr>
            <w:r>
              <w:t xml:space="preserve">0,55%</w:t>
            </w:r>
          </w:p>
        </w:tc>
        <w:tc>
          <w:tcPr/>
          <w:p>
            <w:pPr>
              <w:pStyle w:val="Compact"/>
            </w:pPr>
            <w:r>
              <w:t xml:space="preserve">0,9%</w:t>
            </w:r>
          </w:p>
        </w:tc>
      </w:tr>
    </w:tbl>
    <w:bookmarkEnd w:id="10"/>
    <w:bookmarkStart w:id="11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13,0 (min 13,0 / max 13,0)</w:t>
            </w:r>
          </w:p>
        </w:tc>
        <w:tc>
          <w:tcPr/>
          <w:p>
            <w:pPr>
              <w:pStyle w:val="Compact"/>
            </w:pPr>
            <w:r>
              <w:t xml:space="preserve">6,4 (min 2,0 / max 10,0)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38,2 (min 36,0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19,0 (min 19,0 / max 19,0)</w:t>
            </w:r>
          </w:p>
        </w:tc>
        <w:tc>
          <w:tcPr/>
          <w:p>
            <w:pPr>
              <w:pStyle w:val="Compact"/>
            </w:pPr>
            <w:r>
              <w:t xml:space="preserve">21,8 (min 17,0 / max 26,0)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20,0 (min 20,0 / max 20,0)</w:t>
            </w:r>
          </w:p>
        </w:tc>
        <w:tc>
          <w:tcPr/>
          <w:p>
            <w:pPr>
              <w:pStyle w:val="Compact"/>
            </w:pPr>
            <w:r>
              <w:t xml:space="preserve">35,9 (min 24,0 / max 60,0)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</w:tr>
    </w:tbl>
    <w:bookmarkEnd w:id="11"/>
    <w:bookmarkStart w:id="12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2"/>
    <w:bookmarkStart w:id="13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100,0% con novedad. Tiempo con novedad 42,90 min/ton vs sin novedad N/D min/ton. Notas frecuentes: Se paró alas 10.46 por problemas con el tubo secador (1)</w:t>
      </w:r>
    </w:p>
    <w:p>
      <w:pPr>
        <w:pStyle w:val="Compact"/>
        <w:numPr>
          <w:ilvl w:val="0"/>
          <w:numId w:val="1002"/>
        </w:numPr>
      </w:pPr>
      <w:r>
        <w:t xml:space="preserve">PLANTA 2: 53,3% con novedad. Tiempo con novedad 29,93 min/ton vs sin novedad 44,51 min/ton. Notas frecuentes: Sin registro (5); Se inició alas 3 PM (1); Se paró alas 5.05 asta las 5.18 por cadena de olla granuladora (1); Se inició alas 8 am por limpieza de tubo secador (1)</w:t>
      </w:r>
    </w:p>
    <w:bookmarkEnd w:id="13"/>
    <w:bookmarkStart w:id="14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Aider (1)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Pedro (2), Jan Carlos (2), Nelson (1)</w:t>
            </w:r>
          </w:p>
        </w:tc>
        <w:tc>
          <w:tcPr/>
          <w:p>
            <w:pPr>
              <w:pStyle w:val="Compact"/>
            </w:pPr>
            <w:r>
              <w:t xml:space="preserve">Walter (1), Aider (1), Andres (1)</w:t>
            </w:r>
          </w:p>
        </w:tc>
      </w:tr>
    </w:tbl>
    <w:bookmarkEnd w:id="14"/>
    <w:bookmarkStart w:id="15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1: solo 1 turnos; estadisticas poco representativas.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2026-03-25T19:23:58Z</dcterms:created>
  <dcterms:modified xsi:type="dcterms:W3CDTF">2026-03-25T19:23:58Z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