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manganeso"/>
    <w:p>
      <w:pPr>
        <w:pStyle w:val="Heading1"/>
      </w:pPr>
      <w:r>
        <w:t xml:space="preserve">Ficha de Produccion - NUCLEO MANGANESO</w:t>
      </w:r>
    </w:p>
    <w:p>
      <w:pPr>
        <w:pStyle w:val="Compact"/>
        <w:numPr>
          <w:ilvl w:val="0"/>
          <w:numId w:val="1001"/>
        </w:numPr>
      </w:pPr>
      <w:r>
        <w:t xml:space="preserve">Items: 579</w:t>
      </w:r>
    </w:p>
    <w:p>
      <w:pPr>
        <w:pStyle w:val="Compact"/>
        <w:numPr>
          <w:ilvl w:val="0"/>
          <w:numId w:val="1001"/>
        </w:numPr>
      </w:pPr>
      <w:r>
        <w:t xml:space="preserve">Periodo analizado: 2025-09-08 a 2025-09-08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39.710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25,30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19.855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39.710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14,5 (min 12,0 / max 17,0)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23,0 (min 23,0 / max 23,0)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19,0 (min 13,0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0,0% con novedad. Tiempo con novedad N/D min/ton vs sin novedad 23,65 min/ton. Notas frecuentes: Sin detalle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Michin (1), Victor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