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guion-express-3-min---avance-sgc-ica"/>
    <w:p>
      <w:pPr>
        <w:pStyle w:val="Heading1"/>
      </w:pPr>
      <w:r>
        <w:t xml:space="preserve">Guion express (3 min) - Avance SGC ICA</w:t>
      </w:r>
    </w:p>
    <w:bookmarkStart w:id="9" w:name="apertura-20-seg"/>
    <w:p>
      <w:pPr>
        <w:pStyle w:val="Heading2"/>
      </w:pPr>
      <w:r>
        <w:t xml:space="preserve">Apertura (20 seg)</w:t>
      </w:r>
    </w:p>
    <w:p>
      <w:pPr>
        <w:pStyle w:val="FirstParagraph"/>
      </w:pPr>
      <w:r>
        <w:t xml:space="preserve">Hoy les comparto estado ejecutivo del SGC frente al ICA, enfocado en el numeral 3 del Anexo I-B (procedimientos operativos).</w:t>
      </w:r>
    </w:p>
    <w:bookmarkEnd w:id="9"/>
    <w:bookmarkStart w:id="10" w:name="mensaje-central-30-seg"/>
    <w:p>
      <w:pPr>
        <w:pStyle w:val="Heading2"/>
      </w:pPr>
      <w:r>
        <w:t xml:space="preserve">Mensaje central (30 seg)</w:t>
      </w:r>
    </w:p>
    <w:p>
      <w:pPr>
        <w:pStyle w:val="FirstParagraph"/>
      </w:pPr>
      <w:r>
        <w:t xml:space="preserve">La base documental critica ya esta lista para auditoria: modulo 3 completo, trazable y en formato utilizable para visita.</w:t>
      </w:r>
    </w:p>
    <w:bookmarkEnd w:id="10"/>
    <w:bookmarkStart w:id="11" w:name="datos-clave-60-seg"/>
    <w:p>
      <w:pPr>
        <w:pStyle w:val="Heading2"/>
      </w:pPr>
      <w:r>
        <w:t xml:space="preserve">3 datos clave (60 seg)</w:t>
      </w:r>
    </w:p>
    <w:p>
      <w:pPr>
        <w:pStyle w:val="Compact"/>
        <w:numPr>
          <w:ilvl w:val="0"/>
          <w:numId w:val="1001"/>
        </w:numPr>
      </w:pPr>
      <w:r>
        <w:t xml:space="preserve">Cobertura documental:</w:t>
      </w:r>
      <w:r>
        <w:t xml:space="preserve"> </w:t>
      </w:r>
      <w:r>
        <w:rPr>
          <w:b/>
          <w:bCs/>
        </w:rPr>
        <w:t xml:space="preserve">18 POE + 2 Actas N/A</w:t>
      </w:r>
      <w:r>
        <w:t xml:space="preserve"> </w:t>
      </w:r>
      <w:r>
        <w:t xml:space="preserve">(3.04 y 3.07).</w:t>
      </w:r>
    </w:p>
    <w:p>
      <w:pPr>
        <w:pStyle w:val="Compact"/>
        <w:numPr>
          <w:ilvl w:val="0"/>
          <w:numId w:val="1001"/>
        </w:numPr>
      </w:pPr>
      <w:r>
        <w:t xml:space="preserve">Brecha critica cerrada: procedimiento de limpieza y desinfeccion (pilar 9 ICA).</w:t>
      </w:r>
    </w:p>
    <w:p>
      <w:pPr>
        <w:pStyle w:val="Compact"/>
        <w:numPr>
          <w:ilvl w:val="0"/>
          <w:numId w:val="1001"/>
        </w:numPr>
      </w:pPr>
      <w:r>
        <w:t xml:space="preserve">Paquete documental convertido:</w:t>
      </w:r>
      <w:r>
        <w:t xml:space="preserve"> </w:t>
      </w:r>
      <w:r>
        <w:rPr>
          <w:b/>
          <w:bCs/>
        </w:rPr>
        <w:t xml:space="preserve">54 archivos en DOCX</w:t>
      </w:r>
      <w:r>
        <w:t xml:space="preserve"> </w:t>
      </w:r>
      <w:r>
        <w:t xml:space="preserve">(sin fallos).</w:t>
      </w:r>
    </w:p>
    <w:bookmarkEnd w:id="11"/>
    <w:bookmarkStart w:id="12" w:name="estado-actual-30-seg"/>
    <w:p>
      <w:pPr>
        <w:pStyle w:val="Heading2"/>
      </w:pPr>
      <w:r>
        <w:t xml:space="preserve">Estado actual (30 seg)</w:t>
      </w:r>
    </w:p>
    <w:p>
      <w:pPr>
        <w:pStyle w:val="Compact"/>
        <w:numPr>
          <w:ilvl w:val="0"/>
          <w:numId w:val="1002"/>
        </w:numPr>
      </w:pPr>
      <w:r>
        <w:t xml:space="preserve">Documentacion modulo 3:</w:t>
      </w:r>
      <w:r>
        <w:t xml:space="preserve"> </w:t>
      </w:r>
      <w:r>
        <w:rPr>
          <w:b/>
          <w:bCs/>
        </w:rPr>
        <w:t xml:space="preserve">VERDE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Evidencia de ejecucion en campo:</w:t>
      </w:r>
      <w:r>
        <w:t xml:space="preserve"> </w:t>
      </w:r>
      <w:r>
        <w:rPr>
          <w:b/>
          <w:bCs/>
        </w:rPr>
        <w:t xml:space="preserve">AMARILLO</w:t>
      </w:r>
      <w:r>
        <w:t xml:space="preserve"> </w:t>
      </w:r>
      <w:r>
        <w:t xml:space="preserve">(listo para piloto).</w:t>
      </w:r>
    </w:p>
    <w:p>
      <w:pPr>
        <w:pStyle w:val="Compact"/>
        <w:numPr>
          <w:ilvl w:val="0"/>
          <w:numId w:val="1002"/>
        </w:numPr>
      </w:pPr>
      <w:r>
        <w:t xml:space="preserve">Brechas complementarias:</w:t>
      </w:r>
      <w:r>
        <w:t xml:space="preserve"> </w:t>
      </w:r>
      <w:r>
        <w:rPr>
          <w:b/>
          <w:bCs/>
        </w:rPr>
        <w:t xml:space="preserve">AMARILLO</w:t>
      </w:r>
      <w:r>
        <w:t xml:space="preserve"> </w:t>
      </w:r>
      <w:r>
        <w:t xml:space="preserve">(asesor tecnico y soportes externos).</w:t>
      </w:r>
    </w:p>
    <w:bookmarkEnd w:id="12"/>
    <w:bookmarkStart w:id="13" w:name="siguiente-paso-inmediato-30-seg"/>
    <w:p>
      <w:pPr>
        <w:pStyle w:val="Heading2"/>
      </w:pPr>
      <w:r>
        <w:t xml:space="preserve">Siguiente paso inmediato (30 seg)</w:t>
      </w:r>
    </w:p>
    <w:p>
      <w:pPr>
        <w:pStyle w:val="FirstParagraph"/>
      </w:pPr>
      <w:r>
        <w:t xml:space="preserve">Ya dejamos listas 7 carpetas de piloto (3.01, 3.02, 3.11, 3.13, 3.15, 3.16, 3.17) con acta y checklist. El objetivo de esta semana es diligenciar 1 lote por carpeta con firmas.</w:t>
      </w:r>
    </w:p>
    <w:bookmarkEnd w:id="13"/>
    <w:bookmarkStart w:id="14" w:name="decision-que-requerimos-hoy-30-seg"/>
    <w:p>
      <w:pPr>
        <w:pStyle w:val="Heading2"/>
      </w:pPr>
      <w:r>
        <w:t xml:space="preserve">Decision que requerimos hoy (30 seg)</w:t>
      </w:r>
    </w:p>
    <w:p>
      <w:pPr>
        <w:pStyle w:val="Compact"/>
        <w:numPr>
          <w:ilvl w:val="0"/>
          <w:numId w:val="1003"/>
        </w:numPr>
      </w:pPr>
      <w:r>
        <w:t xml:space="preserve">Confirmar fecha y responsables para ejecutar los 7 pilotos.</w:t>
      </w:r>
    </w:p>
    <w:p>
      <w:pPr>
        <w:pStyle w:val="Compact"/>
        <w:numPr>
          <w:ilvl w:val="0"/>
          <w:numId w:val="1003"/>
        </w:numPr>
      </w:pPr>
      <w:r>
        <w:t xml:space="preserve">Confirmar ventana semanal de firmas internas.</w:t>
      </w:r>
    </w:p>
    <w:bookmarkEnd w:id="14"/>
    <w:bookmarkStart w:id="15" w:name="cierre-10-seg"/>
    <w:p>
      <w:pPr>
        <w:pStyle w:val="Heading2"/>
      </w:pPr>
      <w:r>
        <w:t xml:space="preserve">Cierre (10 seg)</w:t>
      </w:r>
    </w:p>
    <w:p>
      <w:pPr>
        <w:pStyle w:val="FirstParagraph"/>
      </w:pPr>
      <w:r>
        <w:t xml:space="preserve">Estamos en punto de convertir cumplimiento documental en evidencia operativa verificable para la visita ICA.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2026-02-18T10:42:55Z</dcterms:created>
  <dcterms:modified xsi:type="dcterms:W3CDTF">2026-02-18T10:42:55Z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